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CF853F" w14:textId="77777777" w:rsidR="00B93A1D" w:rsidRDefault="00B93A1D">
      <w:pPr>
        <w:rPr>
          <w:rFonts w:ascii="Times New Roman" w:hAnsi="Times New Roman" w:cs="Times New Roman"/>
        </w:rPr>
      </w:pPr>
    </w:p>
    <w:p w14:paraId="2A37B846" w14:textId="77777777" w:rsidR="006F5F82" w:rsidRDefault="006F5F82">
      <w:pPr>
        <w:rPr>
          <w:rFonts w:ascii="Times New Roman" w:hAnsi="Times New Roman" w:cs="Times New Roman"/>
        </w:rPr>
      </w:pPr>
    </w:p>
    <w:p w14:paraId="36A52EF8" w14:textId="77777777" w:rsidR="006F5F82" w:rsidRDefault="006F5F82">
      <w:pPr>
        <w:rPr>
          <w:rFonts w:ascii="Times New Roman" w:hAnsi="Times New Roman" w:cs="Times New Roman"/>
        </w:rPr>
      </w:pPr>
    </w:p>
    <w:p w14:paraId="7A07BC41" w14:textId="77777777" w:rsidR="006F5F82" w:rsidRPr="00E770F4" w:rsidRDefault="006F5F82" w:rsidP="006F5F82">
      <w:pPr>
        <w:pStyle w:val="p1"/>
        <w:rPr>
          <w:rFonts w:ascii="Times New Roman" w:hAnsi="Times New Roman"/>
          <w:sz w:val="24"/>
          <w:szCs w:val="24"/>
        </w:rPr>
      </w:pPr>
      <w:r w:rsidRPr="00E770F4">
        <w:rPr>
          <w:rFonts w:ascii="Times New Roman" w:hAnsi="Times New Roman"/>
          <w:sz w:val="24"/>
          <w:szCs w:val="24"/>
        </w:rPr>
        <w:t>Network Analysis of European Wealth, Elites, and Integration, Pre- and Post-Eurozone Crisis</w:t>
      </w:r>
    </w:p>
    <w:p w14:paraId="15CDF37D" w14:textId="77777777" w:rsidR="006F5F82" w:rsidRDefault="006F5F82">
      <w:pPr>
        <w:rPr>
          <w:rFonts w:ascii="Times New Roman" w:hAnsi="Times New Roman" w:cs="Times New Roman"/>
        </w:rPr>
      </w:pPr>
    </w:p>
    <w:p w14:paraId="1902CF37" w14:textId="77777777" w:rsidR="006F5F82" w:rsidRDefault="006F5F82">
      <w:pPr>
        <w:rPr>
          <w:rFonts w:ascii="Times New Roman" w:hAnsi="Times New Roman" w:cs="Times New Roman"/>
        </w:rPr>
      </w:pPr>
    </w:p>
    <w:p w14:paraId="1BD42B6D" w14:textId="5E7B718E" w:rsidR="006F5F82" w:rsidRDefault="006941E4">
      <w:pPr>
        <w:rPr>
          <w:rFonts w:ascii="Times New Roman" w:hAnsi="Times New Roman" w:cs="Times New Roman"/>
        </w:rPr>
      </w:pPr>
      <w:r>
        <w:rPr>
          <w:rFonts w:ascii="Times New Roman" w:hAnsi="Times New Roman" w:cs="Times New Roman"/>
        </w:rPr>
        <w:t>Abstract</w:t>
      </w:r>
      <w:r w:rsidR="006F5F82">
        <w:rPr>
          <w:rFonts w:ascii="Times New Roman" w:hAnsi="Times New Roman" w:cs="Times New Roman"/>
        </w:rPr>
        <w:t xml:space="preserve">: </w:t>
      </w:r>
      <w:r>
        <w:rPr>
          <w:rFonts w:ascii="Times New Roman" w:hAnsi="Times New Roman" w:cs="Times New Roman"/>
        </w:rPr>
        <w:t>This paper e</w:t>
      </w:r>
      <w:r w:rsidR="006F5F82" w:rsidRPr="00E770F4">
        <w:rPr>
          <w:rFonts w:ascii="Times New Roman" w:hAnsi="Times New Roman" w:cs="Times New Roman"/>
        </w:rPr>
        <w:t>valuate</w:t>
      </w:r>
      <w:r>
        <w:rPr>
          <w:rFonts w:ascii="Times New Roman" w:hAnsi="Times New Roman" w:cs="Times New Roman"/>
        </w:rPr>
        <w:t>s</w:t>
      </w:r>
      <w:r w:rsidR="006F5F82" w:rsidRPr="00E770F4">
        <w:rPr>
          <w:rFonts w:ascii="Times New Roman" w:hAnsi="Times New Roman" w:cs="Times New Roman"/>
        </w:rPr>
        <w:t xml:space="preserve"> the presence and evolution of </w:t>
      </w:r>
      <w:r w:rsidR="006F5F82">
        <w:rPr>
          <w:rFonts w:ascii="Times New Roman" w:hAnsi="Times New Roman" w:cs="Times New Roman"/>
        </w:rPr>
        <w:t xml:space="preserve">network connections between the </w:t>
      </w:r>
      <w:r w:rsidR="009B5DB1">
        <w:rPr>
          <w:rFonts w:ascii="Times New Roman" w:hAnsi="Times New Roman" w:cs="Times New Roman"/>
        </w:rPr>
        <w:t>50</w:t>
      </w:r>
      <w:r>
        <w:rPr>
          <w:rFonts w:ascii="Times New Roman" w:hAnsi="Times New Roman" w:cs="Times New Roman"/>
        </w:rPr>
        <w:t xml:space="preserve"> </w:t>
      </w:r>
      <w:r w:rsidR="006F5F82">
        <w:rPr>
          <w:rFonts w:ascii="Times New Roman" w:hAnsi="Times New Roman" w:cs="Times New Roman"/>
        </w:rPr>
        <w:t>largest firms in the European Union</w:t>
      </w:r>
      <w:r w:rsidR="009B5DB1">
        <w:rPr>
          <w:rFonts w:ascii="Times New Roman" w:hAnsi="Times New Roman" w:cs="Times New Roman"/>
        </w:rPr>
        <w:t xml:space="preserve"> as determined by the Fortune 500</w:t>
      </w:r>
      <w:r w:rsidR="006F5F82">
        <w:rPr>
          <w:rFonts w:ascii="Times New Roman" w:hAnsi="Times New Roman" w:cs="Times New Roman"/>
        </w:rPr>
        <w:t xml:space="preserve">, as well as their connections to governments and quasi-governmental institutions, non-governmental organizations like the OECD or </w:t>
      </w:r>
      <w:r w:rsidR="005F43AB">
        <w:rPr>
          <w:rFonts w:ascii="Times New Roman" w:hAnsi="Times New Roman" w:cs="Times New Roman"/>
        </w:rPr>
        <w:t>the European Roundtables</w:t>
      </w:r>
      <w:r w:rsidR="006F5F82">
        <w:rPr>
          <w:rFonts w:ascii="Times New Roman" w:hAnsi="Times New Roman" w:cs="Times New Roman"/>
        </w:rPr>
        <w:t xml:space="preserve">, and academia. </w:t>
      </w:r>
      <w:r>
        <w:rPr>
          <w:rFonts w:ascii="Times New Roman" w:hAnsi="Times New Roman" w:cs="Times New Roman"/>
        </w:rPr>
        <w:t xml:space="preserve">It uses network models to establish whether </w:t>
      </w:r>
      <w:r w:rsidR="006F5F82">
        <w:rPr>
          <w:rFonts w:ascii="Times New Roman" w:hAnsi="Times New Roman" w:cs="Times New Roman"/>
        </w:rPr>
        <w:t xml:space="preserve">interconnections </w:t>
      </w:r>
      <w:r>
        <w:rPr>
          <w:rFonts w:ascii="Times New Roman" w:hAnsi="Times New Roman" w:cs="Times New Roman"/>
        </w:rPr>
        <w:t>have changed, and any</w:t>
      </w:r>
      <w:r w:rsidR="006F5F82">
        <w:rPr>
          <w:rFonts w:ascii="Times New Roman" w:hAnsi="Times New Roman" w:cs="Times New Roman"/>
        </w:rPr>
        <w:t xml:space="preserve"> trends</w:t>
      </w:r>
      <w:r>
        <w:rPr>
          <w:rFonts w:ascii="Times New Roman" w:hAnsi="Times New Roman" w:cs="Times New Roman"/>
        </w:rPr>
        <w:t xml:space="preserve"> that may have</w:t>
      </w:r>
      <w:r w:rsidR="006F5F82">
        <w:rPr>
          <w:rFonts w:ascii="Times New Roman" w:hAnsi="Times New Roman" w:cs="Times New Roman"/>
        </w:rPr>
        <w:t xml:space="preserve"> emerge</w:t>
      </w:r>
      <w:r>
        <w:rPr>
          <w:rFonts w:ascii="Times New Roman" w:hAnsi="Times New Roman" w:cs="Times New Roman"/>
        </w:rPr>
        <w:t>d</w:t>
      </w:r>
      <w:r w:rsidR="006F5F82">
        <w:rPr>
          <w:rFonts w:ascii="Times New Roman" w:hAnsi="Times New Roman" w:cs="Times New Roman"/>
        </w:rPr>
        <w:t xml:space="preserve"> </w:t>
      </w:r>
      <w:r>
        <w:rPr>
          <w:rFonts w:ascii="Times New Roman" w:hAnsi="Times New Roman" w:cs="Times New Roman"/>
        </w:rPr>
        <w:t>along industry or national lines.</w:t>
      </w:r>
      <w:r w:rsidR="006F5F82">
        <w:rPr>
          <w:rFonts w:ascii="Times New Roman" w:hAnsi="Times New Roman" w:cs="Times New Roman"/>
        </w:rPr>
        <w:t xml:space="preserve"> </w:t>
      </w:r>
      <w:r>
        <w:rPr>
          <w:rFonts w:ascii="Times New Roman" w:hAnsi="Times New Roman" w:cs="Times New Roman"/>
        </w:rPr>
        <w:t>In a novel turn, it also uses network models to establish possible sources of capture – regulatory, cultural, or academic – within the European Union. It h</w:t>
      </w:r>
      <w:r w:rsidR="006F5F82">
        <w:rPr>
          <w:rFonts w:ascii="Times New Roman" w:hAnsi="Times New Roman" w:cs="Times New Roman"/>
        </w:rPr>
        <w:t>elp</w:t>
      </w:r>
      <w:r>
        <w:rPr>
          <w:rFonts w:ascii="Times New Roman" w:hAnsi="Times New Roman" w:cs="Times New Roman"/>
        </w:rPr>
        <w:t>s</w:t>
      </w:r>
      <w:r w:rsidR="006F5F82">
        <w:rPr>
          <w:rFonts w:ascii="Times New Roman" w:hAnsi="Times New Roman" w:cs="Times New Roman"/>
        </w:rPr>
        <w:t xml:space="preserve"> explain how these connections might explain the relevance of corporate interests in policy formation at the national and European levels, particularly before and after the Global Financial Crisis and the ongoing Eurozone Crisis.</w:t>
      </w:r>
      <w:r>
        <w:rPr>
          <w:rFonts w:ascii="Times New Roman" w:hAnsi="Times New Roman" w:cs="Times New Roman"/>
        </w:rPr>
        <w:t xml:space="preserve"> </w:t>
      </w:r>
    </w:p>
    <w:p w14:paraId="356941C5" w14:textId="77777777" w:rsidR="00F92B60" w:rsidRDefault="00F92B60">
      <w:pPr>
        <w:rPr>
          <w:rFonts w:ascii="Times New Roman" w:hAnsi="Times New Roman" w:cs="Times New Roman"/>
        </w:rPr>
      </w:pPr>
    </w:p>
    <w:p w14:paraId="4BB4B0DA" w14:textId="77777777" w:rsidR="00097AFA" w:rsidRDefault="00097AFA">
      <w:pPr>
        <w:rPr>
          <w:rFonts w:ascii="Times New Roman" w:hAnsi="Times New Roman" w:cs="Times New Roman"/>
          <w:b/>
        </w:rPr>
      </w:pPr>
    </w:p>
    <w:p w14:paraId="6DF18BCF" w14:textId="77777777" w:rsidR="00097AFA" w:rsidRDefault="00097AFA">
      <w:pPr>
        <w:rPr>
          <w:rFonts w:ascii="Times New Roman" w:hAnsi="Times New Roman" w:cs="Times New Roman"/>
          <w:b/>
        </w:rPr>
      </w:pPr>
    </w:p>
    <w:p w14:paraId="668D84A0" w14:textId="77777777" w:rsidR="00097AFA" w:rsidRDefault="00097AFA">
      <w:pPr>
        <w:rPr>
          <w:rFonts w:ascii="Times New Roman" w:hAnsi="Times New Roman" w:cs="Times New Roman"/>
          <w:b/>
        </w:rPr>
      </w:pPr>
      <w:r>
        <w:rPr>
          <w:rFonts w:ascii="Times New Roman" w:hAnsi="Times New Roman" w:cs="Times New Roman"/>
          <w:b/>
        </w:rPr>
        <w:t>Nina Eichacker</w:t>
      </w:r>
    </w:p>
    <w:p w14:paraId="6C638A28" w14:textId="77777777" w:rsidR="00097AFA" w:rsidRDefault="00097AFA">
      <w:pPr>
        <w:rPr>
          <w:rFonts w:ascii="Times New Roman" w:hAnsi="Times New Roman" w:cs="Times New Roman"/>
          <w:b/>
        </w:rPr>
      </w:pPr>
      <w:r>
        <w:rPr>
          <w:rFonts w:ascii="Times New Roman" w:hAnsi="Times New Roman" w:cs="Times New Roman"/>
          <w:b/>
        </w:rPr>
        <w:t>University of Rhode Island, Economics Department</w:t>
      </w:r>
    </w:p>
    <w:p w14:paraId="228B0E6A" w14:textId="4CFDFE60" w:rsidR="00097AFA" w:rsidRDefault="00097AFA">
      <w:pPr>
        <w:rPr>
          <w:rFonts w:ascii="Times New Roman" w:hAnsi="Times New Roman" w:cs="Times New Roman"/>
          <w:b/>
        </w:rPr>
      </w:pPr>
      <w:r>
        <w:rPr>
          <w:rFonts w:ascii="Times New Roman" w:hAnsi="Times New Roman" w:cs="Times New Roman"/>
          <w:b/>
        </w:rPr>
        <w:t>April 2019</w:t>
      </w:r>
      <w:bookmarkStart w:id="0" w:name="_GoBack"/>
      <w:bookmarkEnd w:id="0"/>
      <w:r>
        <w:rPr>
          <w:rFonts w:ascii="Times New Roman" w:hAnsi="Times New Roman" w:cs="Times New Roman"/>
          <w:b/>
        </w:rPr>
        <w:br w:type="page"/>
      </w:r>
    </w:p>
    <w:p w14:paraId="220CE182" w14:textId="0FFE1C29" w:rsidR="00F92B60" w:rsidRPr="00B30451" w:rsidRDefault="00B30451" w:rsidP="00B30451">
      <w:pPr>
        <w:rPr>
          <w:rFonts w:ascii="Times New Roman" w:hAnsi="Times New Roman" w:cs="Times New Roman"/>
          <w:b/>
        </w:rPr>
      </w:pPr>
      <w:r w:rsidRPr="00B30451">
        <w:rPr>
          <w:rFonts w:ascii="Times New Roman" w:hAnsi="Times New Roman" w:cs="Times New Roman"/>
          <w:b/>
        </w:rPr>
        <w:lastRenderedPageBreak/>
        <w:t xml:space="preserve">I. </w:t>
      </w:r>
      <w:r w:rsidR="00F92B60" w:rsidRPr="00B30451">
        <w:rPr>
          <w:rFonts w:ascii="Times New Roman" w:hAnsi="Times New Roman" w:cs="Times New Roman"/>
          <w:b/>
        </w:rPr>
        <w:t>Introduction</w:t>
      </w:r>
    </w:p>
    <w:p w14:paraId="26B2E5E9" w14:textId="4273EAE3" w:rsidR="00915705" w:rsidRDefault="00915705" w:rsidP="00A745EB">
      <w:pPr>
        <w:spacing w:line="480" w:lineRule="auto"/>
        <w:ind w:firstLine="360"/>
        <w:rPr>
          <w:rFonts w:ascii="Times New Roman" w:hAnsi="Times New Roman" w:cs="Times New Roman"/>
        </w:rPr>
      </w:pPr>
      <w:r w:rsidRPr="00A745EB">
        <w:rPr>
          <w:rFonts w:ascii="Times New Roman" w:hAnsi="Times New Roman" w:cs="Times New Roman"/>
        </w:rPr>
        <w:t>This paper evaluates the presence and evolution of network connections between the 50 largest firms in the European Union as determined by the Fortune 500, as well as their connections to governments and quasi-governmental institutions, non-governmental organizations like the OECD or the European Roundtables, and academia.</w:t>
      </w:r>
      <w:r w:rsidRPr="00A745EB">
        <w:rPr>
          <w:rFonts w:ascii="Times New Roman" w:hAnsi="Times New Roman" w:cs="Times New Roman"/>
        </w:rPr>
        <w:t xml:space="preserve"> In so doing, it answers questions about whether the volume and composition of these connections have changed from 2000 through 2017, using a combination of corporate annual reporting and other sources. It also examines the extent of connections between large European firms and non-corporate entities, including governments, quasi-governmental bodies like central banks, </w:t>
      </w:r>
      <w:r w:rsidR="00EE6780" w:rsidRPr="00A745EB">
        <w:rPr>
          <w:rFonts w:ascii="Times New Roman" w:hAnsi="Times New Roman" w:cs="Times New Roman"/>
        </w:rPr>
        <w:t>non-governmental organizations like the World Bank, IMF, OECD, and other such orga</w:t>
      </w:r>
      <w:r w:rsidR="00A745EB" w:rsidRPr="00A745EB">
        <w:rPr>
          <w:rFonts w:ascii="Times New Roman" w:hAnsi="Times New Roman" w:cs="Times New Roman"/>
        </w:rPr>
        <w:t xml:space="preserve">nizations, as well as the prominent lobbying and networking organizations of the European Round Tables (of Industrialists, Financial Services, and Retailers), and the World Economic Forum. It also includes linkages to universities, colleges, and research institutes or think tanks, both in terms of faculty members and researchers, as well as board members, advisors, and chairs of such associations. In so doing, it should present a more comprehensive and granular portrait of the interconnections between the largest European firms, as well as the possibility of capture measured by their connections to those non-firm counterparts. </w:t>
      </w:r>
    </w:p>
    <w:p w14:paraId="5965A932" w14:textId="0C5C07A9" w:rsidR="00A745EB" w:rsidRDefault="00A745EB" w:rsidP="00A745EB">
      <w:pPr>
        <w:spacing w:line="480" w:lineRule="auto"/>
        <w:ind w:firstLine="360"/>
        <w:rPr>
          <w:rFonts w:ascii="Times New Roman" w:hAnsi="Times New Roman" w:cs="Times New Roman"/>
        </w:rPr>
      </w:pPr>
      <w:r>
        <w:rPr>
          <w:rFonts w:ascii="Times New Roman" w:hAnsi="Times New Roman" w:cs="Times New Roman"/>
        </w:rPr>
        <w:t xml:space="preserve">Corporate boards, theoretically, supervise the management of firms. While firms may differ as to the responsibilities given to board members, as well as the relative independence of board members from the management of a given firm, in principle they should mediate shareholders’ interests with those of corporate management and ownership. As such, the potential connections between different corporate boards can present opportunities to share knowledge and expertise, improve corporate performance, or prevent risky or calamitous decisions from being made. At the economy-wide level, the potential consequences of board interlinkages may be harder to </w:t>
      </w:r>
      <w:r>
        <w:rPr>
          <w:rFonts w:ascii="Times New Roman" w:hAnsi="Times New Roman" w:cs="Times New Roman"/>
        </w:rPr>
        <w:lastRenderedPageBreak/>
        <w:t xml:space="preserve">predict. In scenarios where lots of boards are connected, mistaken premises may infect a larger scope of firms than in a relatively isolated scenario. If corporate boards are repeatedly formed with the same members, there may be social and performance consequences </w:t>
      </w:r>
      <w:r w:rsidR="00FA6DC6">
        <w:rPr>
          <w:rFonts w:ascii="Times New Roman" w:hAnsi="Times New Roman" w:cs="Times New Roman"/>
        </w:rPr>
        <w:t xml:space="preserve">in the absence of diversity across any number of demographic or experiential factors. </w:t>
      </w:r>
    </w:p>
    <w:p w14:paraId="1CB11386" w14:textId="25CF9381" w:rsidR="00F06554" w:rsidRDefault="00FA6DC6" w:rsidP="00F06554">
      <w:pPr>
        <w:spacing w:line="480" w:lineRule="auto"/>
        <w:ind w:firstLine="360"/>
        <w:rPr>
          <w:rFonts w:ascii="Times New Roman" w:hAnsi="Times New Roman" w:cs="Times New Roman"/>
        </w:rPr>
      </w:pPr>
      <w:r>
        <w:rPr>
          <w:rFonts w:ascii="Times New Roman" w:hAnsi="Times New Roman" w:cs="Times New Roman"/>
        </w:rPr>
        <w:t xml:space="preserve">The notion of the ‘revolving door’ refers to the propensity for different actors to cycle from the private sector into the public sector, and back again. In principle, this may increase the acumen of governmental regulation, as experts from the field give insight into the technical domains being monitored; in practice, this is may weaken the bite of regulation, as regulators avoid imposing onerous restrictions on corporate activity in the hope of lucrative appointments after their tenure in the public sector, or because they know how to thread the needle given their background in the field being regulated. </w:t>
      </w:r>
      <w:r w:rsidR="000404BD">
        <w:rPr>
          <w:rFonts w:ascii="Times New Roman" w:hAnsi="Times New Roman" w:cs="Times New Roman"/>
        </w:rPr>
        <w:t>The prospect of academic capture similarly motivates analysis of how researchers’ and professors’ connections (or potential connections) to industry through consulting or board memberships may affect their scholarship</w:t>
      </w:r>
      <w:r w:rsidR="00650775">
        <w:rPr>
          <w:rFonts w:ascii="Times New Roman" w:hAnsi="Times New Roman" w:cs="Times New Roman"/>
        </w:rPr>
        <w:t xml:space="preserve">, or the sorts of practices they recommend to firms. </w:t>
      </w:r>
      <w:r w:rsidR="007F3240">
        <w:rPr>
          <w:rFonts w:ascii="Times New Roman" w:hAnsi="Times New Roman" w:cs="Times New Roman"/>
        </w:rPr>
        <w:t>There is a robust economic tradition in studying the potential for economic corruption of public interests, but at the time of writing, there are few recent granular network analyses of the connections between large European firms, policy makers, and academics at the board level.</w:t>
      </w:r>
      <w:r w:rsidR="000404BD">
        <w:rPr>
          <w:rFonts w:ascii="Times New Roman" w:hAnsi="Times New Roman" w:cs="Times New Roman"/>
        </w:rPr>
        <w:t xml:space="preserve"> </w:t>
      </w:r>
      <w:r w:rsidR="00DC0D2E">
        <w:rPr>
          <w:rFonts w:ascii="Times New Roman" w:hAnsi="Times New Roman" w:cs="Times New Roman"/>
        </w:rPr>
        <w:t xml:space="preserve">Present interest in the US about the </w:t>
      </w:r>
      <w:r w:rsidR="00F06554">
        <w:rPr>
          <w:rFonts w:ascii="Times New Roman" w:hAnsi="Times New Roman" w:cs="Times New Roman"/>
        </w:rPr>
        <w:t>state of the ‘swamp’ motivates this angle of analysis, and the potential findings about European connections may help explain political dynamics in European elections.</w:t>
      </w:r>
    </w:p>
    <w:p w14:paraId="653A16BC" w14:textId="7AFA3C5A" w:rsidR="00F9289E" w:rsidRDefault="00F9289E" w:rsidP="00F06554">
      <w:pPr>
        <w:spacing w:line="480" w:lineRule="auto"/>
        <w:ind w:firstLine="360"/>
        <w:rPr>
          <w:rFonts w:ascii="Times New Roman" w:hAnsi="Times New Roman" w:cs="Times New Roman"/>
        </w:rPr>
      </w:pPr>
      <w:r>
        <w:rPr>
          <w:rFonts w:ascii="Times New Roman" w:hAnsi="Times New Roman" w:cs="Times New Roman"/>
        </w:rPr>
        <w:t>A literature exists that has examined different elements this paper explores</w:t>
      </w:r>
      <w:r w:rsidR="00E23424">
        <w:rPr>
          <w:rFonts w:ascii="Times New Roman" w:hAnsi="Times New Roman" w:cs="Times New Roman"/>
        </w:rPr>
        <w:t xml:space="preserve"> – the literature review section of this paper examines their findings in greater detail. F</w:t>
      </w:r>
      <w:r>
        <w:rPr>
          <w:rFonts w:ascii="Times New Roman" w:hAnsi="Times New Roman" w:cs="Times New Roman"/>
        </w:rPr>
        <w:t>irm and industry level analyses of corporate board</w:t>
      </w:r>
      <w:r w:rsidR="00E23424">
        <w:rPr>
          <w:rFonts w:ascii="Times New Roman" w:hAnsi="Times New Roman" w:cs="Times New Roman"/>
        </w:rPr>
        <w:t xml:space="preserve"> composition explore the potential impact stakeholder representation on boards on firm performance, as well the determinants of board composition. Analyses of </w:t>
      </w:r>
      <w:r w:rsidR="00E23424">
        <w:rPr>
          <w:rFonts w:ascii="Times New Roman" w:hAnsi="Times New Roman" w:cs="Times New Roman"/>
        </w:rPr>
        <w:lastRenderedPageBreak/>
        <w:t xml:space="preserve">corporate interlocks in political science and sociology may use big data to examine global networks at one or two points in time, or smaller scale analyses in economics or business may focus on one nation or region over a period of time. There are also some analyses of political connections to firms, either with large scale cross-sectional studies limited, or with analyses of the consequences of political connections on firm and economy level performance.  However, these studies are limited by the scope of their analysis: establishing network connections is a relatively tedious technical process that requires lots of sorting and matching of data, and analyses of big data, potentially analyzing hundreds or thousands of firms across the globe </w:t>
      </w:r>
      <w:r w:rsidR="002B2775">
        <w:rPr>
          <w:rFonts w:ascii="Times New Roman" w:hAnsi="Times New Roman" w:cs="Times New Roman"/>
        </w:rPr>
        <w:t xml:space="preserve">take a lot of time. The most recent analyses of European level corporate connections conclude with evidence from 2010; much has changed in the economy of the European Union and the world since. </w:t>
      </w:r>
      <w:r w:rsidR="00971C3D">
        <w:rPr>
          <w:rFonts w:ascii="Times New Roman" w:hAnsi="Times New Roman" w:cs="Times New Roman"/>
        </w:rPr>
        <w:t>Finally, there are few network analyses of firms’ connections to non-firm actors</w:t>
      </w:r>
      <w:r w:rsidR="00E23424">
        <w:rPr>
          <w:rFonts w:ascii="Times New Roman" w:hAnsi="Times New Roman" w:cs="Times New Roman"/>
        </w:rPr>
        <w:t xml:space="preserve"> </w:t>
      </w:r>
      <w:r w:rsidR="00971C3D">
        <w:rPr>
          <w:rFonts w:ascii="Times New Roman" w:hAnsi="Times New Roman" w:cs="Times New Roman"/>
        </w:rPr>
        <w:t xml:space="preserve">in government, quasi-government, or other non-corporate spheres, </w:t>
      </w:r>
      <w:r w:rsidR="00D35B05">
        <w:rPr>
          <w:rFonts w:ascii="Times New Roman" w:hAnsi="Times New Roman" w:cs="Times New Roman"/>
        </w:rPr>
        <w:t xml:space="preserve">and no apparent analyses of the connections firms may have to academic interests, all of </w:t>
      </w:r>
      <w:r w:rsidR="00971C3D">
        <w:rPr>
          <w:rFonts w:ascii="Times New Roman" w:hAnsi="Times New Roman" w:cs="Times New Roman"/>
        </w:rPr>
        <w:t xml:space="preserve">whose actions </w:t>
      </w:r>
      <w:r w:rsidR="00D35B05">
        <w:rPr>
          <w:rFonts w:ascii="Times New Roman" w:hAnsi="Times New Roman" w:cs="Times New Roman"/>
        </w:rPr>
        <w:t>may</w:t>
      </w:r>
      <w:r w:rsidR="00971C3D">
        <w:rPr>
          <w:rFonts w:ascii="Times New Roman" w:hAnsi="Times New Roman" w:cs="Times New Roman"/>
        </w:rPr>
        <w:t xml:space="preserve"> influence corporate environments. Given present debates about the scope of governmental connections to business interests, providing a baseline seems like a worthy enterprise.</w:t>
      </w:r>
    </w:p>
    <w:p w14:paraId="0461BFA2" w14:textId="77777777" w:rsidR="00C544A0" w:rsidRDefault="00C544A0" w:rsidP="00C544A0">
      <w:pPr>
        <w:spacing w:line="480" w:lineRule="auto"/>
        <w:ind w:firstLine="360"/>
        <w:rPr>
          <w:rFonts w:ascii="Times New Roman" w:hAnsi="Times New Roman" w:cs="Times New Roman"/>
        </w:rPr>
      </w:pPr>
      <w:r>
        <w:rPr>
          <w:rFonts w:ascii="Times New Roman" w:hAnsi="Times New Roman" w:cs="Times New Roman"/>
        </w:rPr>
        <w:t>This paper uses network models to show the evolution of corporate ties between the 50 largest European firms as determined by the Fortune Global 500. In doing, it shows increasing and shrinking connections as well as evolution in the share of ties to other large European firms, smaller private firms, and non-firm counterparts. It also shows the evolution of connections to governments at the national level (European and US), the European Commission and other supra-national entities at the European level, and finally, ties to academia worldwide. It discusses the implications of these changes for the private sector and for Europe’s economies at large.</w:t>
      </w:r>
    </w:p>
    <w:p w14:paraId="61673DDE" w14:textId="35014BA5" w:rsidR="00AD1F42" w:rsidRPr="00C544A0" w:rsidRDefault="00AD1F42" w:rsidP="00C544A0">
      <w:pPr>
        <w:spacing w:line="480" w:lineRule="auto"/>
        <w:ind w:firstLine="360"/>
        <w:rPr>
          <w:rFonts w:ascii="Times New Roman" w:hAnsi="Times New Roman" w:cs="Times New Roman"/>
        </w:rPr>
      </w:pPr>
      <w:r w:rsidRPr="00C544A0">
        <w:rPr>
          <w:rFonts w:ascii="Times New Roman" w:hAnsi="Times New Roman" w:cs="Times New Roman"/>
        </w:rPr>
        <w:lastRenderedPageBreak/>
        <w:t>The next section of the paper discusses past work from the fields of management, sociology, political science, and economics on the fields of corporate interlocks and regulatory capture, and argues for the value of exploring linkages between European firms’ board members as well as governing bodies at the national and European level, as well as linkages between corporations and academia and media in the European Union. The third section presents a network analysis model of the 50 largest firms in the European Union as determined by the Fortune 500, along with analysis of the share of links between firms, government and quasi-governmental bodies, and academia and the media, and how they have changed from 2000 through 2018. The next section discusses those findings. The final section concludes.</w:t>
      </w:r>
    </w:p>
    <w:p w14:paraId="336535FA" w14:textId="602D671D" w:rsidR="00F92B60" w:rsidRPr="00B30451" w:rsidRDefault="00AA3051" w:rsidP="00AA3051">
      <w:pPr>
        <w:rPr>
          <w:rFonts w:ascii="Times New Roman" w:hAnsi="Times New Roman" w:cs="Times New Roman"/>
          <w:b/>
        </w:rPr>
      </w:pPr>
      <w:r w:rsidRPr="00B30451">
        <w:rPr>
          <w:rFonts w:ascii="Times New Roman" w:hAnsi="Times New Roman" w:cs="Times New Roman"/>
          <w:b/>
        </w:rPr>
        <w:t xml:space="preserve">II. </w:t>
      </w:r>
      <w:r w:rsidR="00F92B60" w:rsidRPr="00B30451">
        <w:rPr>
          <w:rFonts w:ascii="Times New Roman" w:hAnsi="Times New Roman" w:cs="Times New Roman"/>
          <w:b/>
        </w:rPr>
        <w:t>Literature</w:t>
      </w:r>
    </w:p>
    <w:p w14:paraId="7C79518F" w14:textId="77777777" w:rsidR="0056269A" w:rsidRDefault="0056269A" w:rsidP="0056269A">
      <w:pPr>
        <w:ind w:firstLine="360"/>
        <w:rPr>
          <w:rFonts w:ascii="Times New Roman" w:hAnsi="Times New Roman" w:cs="Times New Roman"/>
        </w:rPr>
      </w:pPr>
    </w:p>
    <w:p w14:paraId="086647AB" w14:textId="5F9E8D54" w:rsidR="000F7D42" w:rsidRPr="0056269A" w:rsidRDefault="000F7D42" w:rsidP="00A1335C">
      <w:pPr>
        <w:spacing w:line="480" w:lineRule="auto"/>
        <w:ind w:firstLine="360"/>
        <w:rPr>
          <w:rFonts w:ascii="Times New Roman" w:hAnsi="Times New Roman" w:cs="Times New Roman"/>
        </w:rPr>
      </w:pPr>
      <w:r w:rsidRPr="0056269A">
        <w:rPr>
          <w:rFonts w:ascii="Times New Roman" w:hAnsi="Times New Roman" w:cs="Times New Roman"/>
        </w:rPr>
        <w:t>This paper brings together literature about how firms organize their boards of directors and supervisors, the linkages that emerge between those firms, their connections to non-firm institutions (government, quasi-government, and academic or media), and the process and implications of regulato</w:t>
      </w:r>
      <w:r w:rsidR="00476AB2" w:rsidRPr="0056269A">
        <w:rPr>
          <w:rFonts w:ascii="Times New Roman" w:hAnsi="Times New Roman" w:cs="Times New Roman"/>
        </w:rPr>
        <w:t>ry or cultural capture. This section outlines key findings relevant to this project, and further defines the contributions this paper can make as a preliminary study of corporate and non-corporate interlinkages in the European Union.</w:t>
      </w:r>
    </w:p>
    <w:p w14:paraId="549A1525" w14:textId="5600BADE" w:rsidR="007A1937" w:rsidRDefault="00476AB2" w:rsidP="00A1335C">
      <w:pPr>
        <w:spacing w:line="480" w:lineRule="auto"/>
        <w:ind w:firstLine="360"/>
        <w:rPr>
          <w:rFonts w:ascii="Times New Roman" w:hAnsi="Times New Roman" w:cs="Times New Roman"/>
        </w:rPr>
      </w:pPr>
      <w:r w:rsidRPr="005F55DE">
        <w:rPr>
          <w:rFonts w:ascii="Times New Roman" w:hAnsi="Times New Roman" w:cs="Times New Roman"/>
        </w:rPr>
        <w:t xml:space="preserve">The corporate and managerial economics literature has many studies that discuss the purpose </w:t>
      </w:r>
      <w:r w:rsidR="00CD3D49" w:rsidRPr="005F55DE">
        <w:rPr>
          <w:rFonts w:ascii="Times New Roman" w:hAnsi="Times New Roman" w:cs="Times New Roman"/>
        </w:rPr>
        <w:t xml:space="preserve">of corporate governance, </w:t>
      </w:r>
      <w:r w:rsidRPr="005F55DE">
        <w:rPr>
          <w:rFonts w:ascii="Times New Roman" w:hAnsi="Times New Roman" w:cs="Times New Roman"/>
        </w:rPr>
        <w:t xml:space="preserve">and consequences of how firms govern themselves. </w:t>
      </w:r>
      <w:r w:rsidR="00A1335C" w:rsidRPr="005F55DE">
        <w:rPr>
          <w:rFonts w:ascii="Times New Roman" w:hAnsi="Times New Roman" w:cs="Times New Roman"/>
        </w:rPr>
        <w:t>(</w:t>
      </w:r>
      <w:r w:rsidR="005F55DE">
        <w:rPr>
          <w:rFonts w:ascii="Times New Roman" w:hAnsi="Times New Roman" w:cs="Times New Roman"/>
        </w:rPr>
        <w:t>A small selection includes</w:t>
      </w:r>
      <w:r w:rsidR="00B57F12">
        <w:rPr>
          <w:rFonts w:ascii="Times New Roman" w:hAnsi="Times New Roman" w:cs="Times New Roman"/>
        </w:rPr>
        <w:t xml:space="preserve"> Zahra and Pearce, 1989;</w:t>
      </w:r>
      <w:r w:rsidR="005F55DE">
        <w:rPr>
          <w:rFonts w:ascii="Times New Roman" w:hAnsi="Times New Roman" w:cs="Times New Roman"/>
        </w:rPr>
        <w:t xml:space="preserve"> Johnson, Daily, and Ellstrand, 1996; </w:t>
      </w:r>
      <w:r w:rsidR="00A1335C" w:rsidRPr="005F55DE">
        <w:rPr>
          <w:rFonts w:ascii="Times New Roman" w:hAnsi="Times New Roman" w:cs="Times New Roman"/>
        </w:rPr>
        <w:t xml:space="preserve">and </w:t>
      </w:r>
      <w:r w:rsidR="00B57F12">
        <w:rPr>
          <w:rFonts w:ascii="Times New Roman" w:hAnsi="Times New Roman" w:cs="Times New Roman"/>
        </w:rPr>
        <w:t>Gulati, 1998</w:t>
      </w:r>
      <w:r w:rsidR="00A1335C" w:rsidRPr="005F55DE">
        <w:rPr>
          <w:rFonts w:ascii="Times New Roman" w:hAnsi="Times New Roman" w:cs="Times New Roman"/>
        </w:rPr>
        <w:t xml:space="preserve">.) </w:t>
      </w:r>
      <w:r w:rsidRPr="00A1335C">
        <w:rPr>
          <w:rFonts w:ascii="Times New Roman" w:hAnsi="Times New Roman" w:cs="Times New Roman"/>
        </w:rPr>
        <w:t xml:space="preserve">Corporate governance broadly entails the study of how firms’ boards of directors and supervisors </w:t>
      </w:r>
      <w:r w:rsidR="007A1937">
        <w:rPr>
          <w:rFonts w:ascii="Times New Roman" w:hAnsi="Times New Roman" w:cs="Times New Roman"/>
        </w:rPr>
        <w:t xml:space="preserve">mediate the interests of companies’ owners, shareholders, and management. In theory, corporate board members: </w:t>
      </w:r>
    </w:p>
    <w:p w14:paraId="1C1F5A07" w14:textId="77777777" w:rsidR="007A1937" w:rsidRDefault="007A1937" w:rsidP="007A1937">
      <w:pPr>
        <w:ind w:left="360"/>
        <w:rPr>
          <w:rFonts w:ascii="Times New Roman" w:hAnsi="Times New Roman" w:cs="Times New Roman"/>
        </w:rPr>
      </w:pPr>
      <w:r>
        <w:rPr>
          <w:rFonts w:ascii="Times New Roman" w:hAnsi="Times New Roman" w:cs="Times New Roman"/>
        </w:rPr>
        <w:t xml:space="preserve">“monitor management on behalf of shareholders, to keep [the firm] going in the right direction and, when that fails … make necessary repairs and replacements. They are there to </w:t>
      </w:r>
      <w:r>
        <w:rPr>
          <w:rFonts w:ascii="Times New Roman" w:hAnsi="Times New Roman" w:cs="Times New Roman"/>
        </w:rPr>
        <w:lastRenderedPageBreak/>
        <w:t xml:space="preserve">hire, evaluate, incentivize, and replace the top managers, to make sure that financial reports are appropriate and accurate, to oversee the general strategy and direction, to manage risk, and to set the ‘tone at the top’ to ensure the integrity of the company’s operations and employees.” (Monks and Minnow, 2011, 253) </w:t>
      </w:r>
    </w:p>
    <w:p w14:paraId="5C7BDA61" w14:textId="77777777" w:rsidR="007A1937" w:rsidRDefault="007A1937" w:rsidP="007A1937">
      <w:pPr>
        <w:ind w:left="360"/>
        <w:rPr>
          <w:rFonts w:ascii="Times New Roman" w:hAnsi="Times New Roman" w:cs="Times New Roman"/>
        </w:rPr>
      </w:pPr>
    </w:p>
    <w:p w14:paraId="1A5A975A" w14:textId="77777777" w:rsidR="00C549BA" w:rsidRDefault="00EA5FB1" w:rsidP="00C549BA">
      <w:pPr>
        <w:spacing w:line="480" w:lineRule="auto"/>
        <w:rPr>
          <w:rFonts w:ascii="Times New Roman" w:hAnsi="Times New Roman" w:cs="Times New Roman"/>
        </w:rPr>
      </w:pPr>
      <w:r>
        <w:rPr>
          <w:rFonts w:ascii="Times New Roman" w:hAnsi="Times New Roman" w:cs="Times New Roman"/>
        </w:rPr>
        <w:t>Whether they do this in practice is the subject of much debate and, to a degree, beyond the scope of this paper. (Monks and Minnow, 2011) The functions c</w:t>
      </w:r>
      <w:r w:rsidR="00752B5F">
        <w:rPr>
          <w:rFonts w:ascii="Times New Roman" w:hAnsi="Times New Roman" w:cs="Times New Roman"/>
        </w:rPr>
        <w:t xml:space="preserve">orporate board members serve </w:t>
      </w:r>
      <w:r w:rsidR="00B1031A">
        <w:rPr>
          <w:rFonts w:ascii="Times New Roman" w:hAnsi="Times New Roman" w:cs="Times New Roman"/>
        </w:rPr>
        <w:t>may be dictated by law</w:t>
      </w:r>
      <w:r>
        <w:rPr>
          <w:rFonts w:ascii="Times New Roman" w:hAnsi="Times New Roman" w:cs="Times New Roman"/>
        </w:rPr>
        <w:t xml:space="preserve"> (chief among them safeguarding the interests of shareholders)</w:t>
      </w:r>
      <w:r w:rsidR="00B1031A">
        <w:rPr>
          <w:rFonts w:ascii="Times New Roman" w:hAnsi="Times New Roman" w:cs="Times New Roman"/>
        </w:rPr>
        <w:t xml:space="preserve">, and </w:t>
      </w:r>
      <w:r>
        <w:rPr>
          <w:rFonts w:ascii="Times New Roman" w:hAnsi="Times New Roman" w:cs="Times New Roman"/>
        </w:rPr>
        <w:t xml:space="preserve">may vary according to the actual priorities of the board members. Among boards’ generally recognized responsibilities are auditing firms’ performances, communicating with firms’ shareholders, </w:t>
      </w:r>
      <w:r w:rsidR="002D6631">
        <w:rPr>
          <w:rFonts w:ascii="Times New Roman" w:hAnsi="Times New Roman" w:cs="Times New Roman"/>
        </w:rPr>
        <w:t xml:space="preserve">and supervising the management of firms in any number of ways. </w:t>
      </w:r>
      <w:r w:rsidR="0037645A">
        <w:rPr>
          <w:rFonts w:ascii="Times New Roman" w:hAnsi="Times New Roman" w:cs="Times New Roman"/>
        </w:rPr>
        <w:t xml:space="preserve">A 2010 survey by FTI Consulting, an organization that advises corporate boards on best practices, </w:t>
      </w:r>
      <w:r w:rsidR="009B39DD">
        <w:rPr>
          <w:rFonts w:ascii="Times New Roman" w:hAnsi="Times New Roman" w:cs="Times New Roman"/>
        </w:rPr>
        <w:t>showed board members</w:t>
      </w:r>
      <w:r w:rsidR="00C549BA">
        <w:rPr>
          <w:rFonts w:ascii="Times New Roman" w:hAnsi="Times New Roman" w:cs="Times New Roman"/>
        </w:rPr>
        <w:t>’</w:t>
      </w:r>
      <w:r w:rsidR="009B39DD">
        <w:rPr>
          <w:rFonts w:ascii="Times New Roman" w:hAnsi="Times New Roman" w:cs="Times New Roman"/>
        </w:rPr>
        <w:t xml:space="preserve"> top ten priorities to include </w:t>
      </w:r>
      <w:r w:rsidR="00860C39">
        <w:rPr>
          <w:rFonts w:ascii="Times New Roman" w:hAnsi="Times New Roman" w:cs="Times New Roman"/>
        </w:rPr>
        <w:t xml:space="preserve">executive compensation, governance and compliance, mergers and acquisitions, investor relations, operational risk, liquidity, internal controls, managing media and company reputation, managing legal fees, </w:t>
      </w:r>
      <w:r w:rsidR="009B39DD">
        <w:rPr>
          <w:rFonts w:ascii="Times New Roman" w:hAnsi="Times New Roman" w:cs="Times New Roman"/>
        </w:rPr>
        <w:t>and</w:t>
      </w:r>
      <w:r w:rsidR="00860C39">
        <w:rPr>
          <w:rFonts w:ascii="Times New Roman" w:hAnsi="Times New Roman" w:cs="Times New Roman"/>
        </w:rPr>
        <w:t xml:space="preserve"> proxy and director election issues</w:t>
      </w:r>
      <w:r w:rsidR="009B39DD">
        <w:rPr>
          <w:rFonts w:ascii="Times New Roman" w:hAnsi="Times New Roman" w:cs="Times New Roman"/>
        </w:rPr>
        <w:t>. (FTI Consulting, 2010)</w:t>
      </w:r>
      <w:r w:rsidR="00860C39">
        <w:rPr>
          <w:rFonts w:ascii="Times New Roman" w:hAnsi="Times New Roman" w:cs="Times New Roman"/>
        </w:rPr>
        <w:t xml:space="preserve"> </w:t>
      </w:r>
      <w:r w:rsidR="00C549BA">
        <w:rPr>
          <w:rFonts w:ascii="Times New Roman" w:hAnsi="Times New Roman" w:cs="Times New Roman"/>
        </w:rPr>
        <w:t>U</w:t>
      </w:r>
      <w:r w:rsidR="00C549BA" w:rsidRPr="00A1335C">
        <w:rPr>
          <w:rFonts w:ascii="Times New Roman" w:hAnsi="Times New Roman" w:cs="Times New Roman"/>
        </w:rPr>
        <w:t>nderstanding how firms are tied through their corporate boards to other firms, and non-firm actors such as members of government, members of lobbying associations, central banks, non-governmental organizations like the Organization for Economic Cooperation and Development or the Bank of International Settlements, academia, or media can reveal detail about firms’ strategies for mediating competition, complying or contributions to the regulatory process, or promoting the image of their firm or industry for academic or broader audiences.</w:t>
      </w:r>
      <w:r w:rsidR="00C549BA">
        <w:rPr>
          <w:rFonts w:ascii="Times New Roman" w:hAnsi="Times New Roman" w:cs="Times New Roman"/>
        </w:rPr>
        <w:t xml:space="preserve"> Given the responsibilities firms’ boards have in managing firms’ risk, directing firms’ messaging, and evaluating the skill (however that is determined) with which management runs a given firm, as well as the monetary stake board members have since they are paid by the firm, these links are important to establish.</w:t>
      </w:r>
    </w:p>
    <w:p w14:paraId="4860EBBD" w14:textId="77777777" w:rsidR="00B93A1D" w:rsidRDefault="00D319A6" w:rsidP="00333111">
      <w:pPr>
        <w:spacing w:line="480" w:lineRule="auto"/>
        <w:ind w:firstLine="720"/>
        <w:rPr>
          <w:rFonts w:ascii="Times New Roman" w:hAnsi="Times New Roman" w:cs="Times New Roman"/>
        </w:rPr>
      </w:pPr>
      <w:r w:rsidRPr="00C549BA">
        <w:rPr>
          <w:rFonts w:ascii="Times New Roman" w:hAnsi="Times New Roman" w:cs="Times New Roman"/>
        </w:rPr>
        <w:lastRenderedPageBreak/>
        <w:t>Firms</w:t>
      </w:r>
      <w:r w:rsidR="00111A84">
        <w:rPr>
          <w:rFonts w:ascii="Times New Roman" w:hAnsi="Times New Roman" w:cs="Times New Roman"/>
        </w:rPr>
        <w:t>, and particularly their CEOs,</w:t>
      </w:r>
      <w:r w:rsidRPr="00C549BA">
        <w:rPr>
          <w:rFonts w:ascii="Times New Roman" w:hAnsi="Times New Roman" w:cs="Times New Roman"/>
        </w:rPr>
        <w:t xml:space="preserve"> have discretion in </w:t>
      </w:r>
      <w:r w:rsidR="00C549BA">
        <w:rPr>
          <w:rFonts w:ascii="Times New Roman" w:hAnsi="Times New Roman" w:cs="Times New Roman"/>
        </w:rPr>
        <w:t>forming</w:t>
      </w:r>
      <w:r w:rsidRPr="00C549BA">
        <w:rPr>
          <w:rFonts w:ascii="Times New Roman" w:hAnsi="Times New Roman" w:cs="Times New Roman"/>
        </w:rPr>
        <w:t xml:space="preserve"> their corporate boards. </w:t>
      </w:r>
      <w:r w:rsidR="00C549BA">
        <w:rPr>
          <w:rFonts w:ascii="Times New Roman" w:hAnsi="Times New Roman" w:cs="Times New Roman"/>
        </w:rPr>
        <w:t>Corporate board member</w:t>
      </w:r>
      <w:r w:rsidR="00BB6523" w:rsidRPr="00C549BA">
        <w:rPr>
          <w:rFonts w:ascii="Times New Roman" w:hAnsi="Times New Roman" w:cs="Times New Roman"/>
        </w:rPr>
        <w:t xml:space="preserve">s are likely to include directors of a firm, such as the CEO and CFO, as well as independent directors, who have (theoretically) no connection to the ownership or management of the firm. </w:t>
      </w:r>
      <w:r w:rsidR="00C549BA">
        <w:rPr>
          <w:rFonts w:ascii="Times New Roman" w:hAnsi="Times New Roman" w:cs="Times New Roman"/>
        </w:rPr>
        <w:t xml:space="preserve">The logic is that including individuals with no explicit links to the firm should ensure the members’ have full discretion in criticizing or changing firms’ direction, since they are not beholden to the hierarchies they recognize within the firm. (Monks and Minow, 2011) </w:t>
      </w:r>
      <w:r w:rsidR="00BB6523" w:rsidRPr="00C549BA">
        <w:rPr>
          <w:rFonts w:ascii="Times New Roman" w:hAnsi="Times New Roman" w:cs="Times New Roman"/>
        </w:rPr>
        <w:t>Historically, board members tend to be executives of other firms, lawyers, academics, and other officials who may have management responsibilities in government or other non-corporate fields. They als</w:t>
      </w:r>
      <w:r w:rsidR="00AC0AFC" w:rsidRPr="00C549BA">
        <w:rPr>
          <w:rFonts w:ascii="Times New Roman" w:hAnsi="Times New Roman" w:cs="Times New Roman"/>
        </w:rPr>
        <w:t xml:space="preserve">o, historically, have been male, white, and middle-aged. (Monks and Minnow, 2011) </w:t>
      </w:r>
      <w:r w:rsidR="00333111">
        <w:rPr>
          <w:rFonts w:ascii="Times New Roman" w:hAnsi="Times New Roman" w:cs="Times New Roman"/>
        </w:rPr>
        <w:t xml:space="preserve">Company CEOs, who typically have a seat on company boards, are most likely to suggest new director candidates for the board’s nominating committee to put forth to shareholders, and those votes are usually to approve, since there is rarely an alternate candidate. (Monks and Minow, 2011) As such, corporate management’s incentive to add members to the board should be considered the key determinant for board inclusion. </w:t>
      </w:r>
    </w:p>
    <w:p w14:paraId="40CFBCA9" w14:textId="111871A9" w:rsidR="000F7D42" w:rsidRDefault="00345B26" w:rsidP="00333111">
      <w:pPr>
        <w:spacing w:line="480" w:lineRule="auto"/>
        <w:ind w:firstLine="720"/>
        <w:rPr>
          <w:rFonts w:ascii="Times New Roman" w:hAnsi="Times New Roman" w:cs="Times New Roman"/>
        </w:rPr>
      </w:pPr>
      <w:r w:rsidRPr="00C549BA">
        <w:rPr>
          <w:rFonts w:ascii="Times New Roman" w:hAnsi="Times New Roman" w:cs="Times New Roman"/>
        </w:rPr>
        <w:t>The incentives for including public actors on a firm’s board are diverse. A firm may want the rigor of a government representative to ensure that it is complying with the letter and spirit of regulations</w:t>
      </w:r>
      <w:r w:rsidR="00333111">
        <w:rPr>
          <w:rFonts w:ascii="Times New Roman" w:hAnsi="Times New Roman" w:cs="Times New Roman"/>
        </w:rPr>
        <w:t>, especially if it is in a heavily regulated industry such as utilities, banks, railroads or pharmaceuticals</w:t>
      </w:r>
      <w:r w:rsidRPr="00C549BA">
        <w:rPr>
          <w:rFonts w:ascii="Times New Roman" w:hAnsi="Times New Roman" w:cs="Times New Roman"/>
        </w:rPr>
        <w:t>; alternately, it may try to influence regulation of an industry to benefit the firm’s economic interests. (</w:t>
      </w:r>
      <w:r w:rsidR="006757B4">
        <w:rPr>
          <w:rFonts w:ascii="Times New Roman" w:hAnsi="Times New Roman" w:cs="Times New Roman"/>
        </w:rPr>
        <w:t>Luoma and Goodstein, 1999</w:t>
      </w:r>
      <w:r w:rsidRPr="00C549BA">
        <w:rPr>
          <w:rFonts w:ascii="Times New Roman" w:hAnsi="Times New Roman" w:cs="Times New Roman"/>
        </w:rPr>
        <w:t xml:space="preserve">) </w:t>
      </w:r>
      <w:r w:rsidR="00B93A1D">
        <w:rPr>
          <w:rFonts w:ascii="Times New Roman" w:hAnsi="Times New Roman" w:cs="Times New Roman"/>
        </w:rPr>
        <w:t>Jones and Goldberg argued that more public corporate directors could enshrine and codify firms’ social responsibility doctrines, increase ‘the legitimacy of corporate social decision making, and the compatibility of corporate governance with democratic principles.” (Jones and Goldberg, 1982, 603)</w:t>
      </w:r>
      <w:r w:rsidR="00B93A1D" w:rsidRPr="00B93A1D">
        <w:rPr>
          <w:rFonts w:ascii="Times New Roman" w:hAnsi="Times New Roman" w:cs="Times New Roman"/>
        </w:rPr>
        <w:t xml:space="preserve"> </w:t>
      </w:r>
      <w:r w:rsidR="00B93A1D">
        <w:rPr>
          <w:rFonts w:ascii="Times New Roman" w:hAnsi="Times New Roman" w:cs="Times New Roman"/>
        </w:rPr>
        <w:t xml:space="preserve">On the other hand, work by </w:t>
      </w:r>
      <w:r w:rsidR="000A43E3">
        <w:rPr>
          <w:rFonts w:ascii="Times New Roman" w:hAnsi="Times New Roman" w:cs="Times New Roman"/>
        </w:rPr>
        <w:t xml:space="preserve">Faccio shows that political connected firms in 47 countries tend to have higher leverage and market </w:t>
      </w:r>
      <w:r w:rsidR="000A43E3">
        <w:rPr>
          <w:rFonts w:ascii="Times New Roman" w:hAnsi="Times New Roman" w:cs="Times New Roman"/>
        </w:rPr>
        <w:lastRenderedPageBreak/>
        <w:t>shares while paying lower taxes</w:t>
      </w:r>
      <w:r w:rsidR="00A44049">
        <w:rPr>
          <w:rFonts w:ascii="Times New Roman" w:hAnsi="Times New Roman" w:cs="Times New Roman"/>
        </w:rPr>
        <w:t>, as well as lower return on assets and market-to-book ratios,</w:t>
      </w:r>
      <w:r w:rsidR="000A43E3">
        <w:rPr>
          <w:rFonts w:ascii="Times New Roman" w:hAnsi="Times New Roman" w:cs="Times New Roman"/>
        </w:rPr>
        <w:t xml:space="preserve"> and that </w:t>
      </w:r>
      <w:r w:rsidR="00A44049">
        <w:rPr>
          <w:rFonts w:ascii="Times New Roman" w:hAnsi="Times New Roman" w:cs="Times New Roman"/>
        </w:rPr>
        <w:t>the placement</w:t>
      </w:r>
      <w:r w:rsidR="000A43E3">
        <w:rPr>
          <w:rFonts w:ascii="Times New Roman" w:hAnsi="Times New Roman" w:cs="Times New Roman"/>
        </w:rPr>
        <w:t xml:space="preserve"> of political connections</w:t>
      </w:r>
      <w:r w:rsidR="00A44049">
        <w:rPr>
          <w:rFonts w:ascii="Times New Roman" w:hAnsi="Times New Roman" w:cs="Times New Roman"/>
        </w:rPr>
        <w:t xml:space="preserve"> (eg: links to foreign ministers, politicians that are owners rather than board members)</w:t>
      </w:r>
      <w:r w:rsidR="000A43E3">
        <w:rPr>
          <w:rFonts w:ascii="Times New Roman" w:hAnsi="Times New Roman" w:cs="Times New Roman"/>
        </w:rPr>
        <w:t xml:space="preserve"> </w:t>
      </w:r>
      <w:r w:rsidR="00A44049">
        <w:rPr>
          <w:rFonts w:ascii="Times New Roman" w:hAnsi="Times New Roman" w:cs="Times New Roman"/>
        </w:rPr>
        <w:t>can amplify these effects.</w:t>
      </w:r>
      <w:r w:rsidR="000A43E3">
        <w:rPr>
          <w:rFonts w:ascii="Times New Roman" w:hAnsi="Times New Roman" w:cs="Times New Roman"/>
        </w:rPr>
        <w:t xml:space="preserve">  (Faccio, 2010, 905)</w:t>
      </w:r>
      <w:r w:rsidR="0041749E">
        <w:rPr>
          <w:rFonts w:ascii="Times New Roman" w:hAnsi="Times New Roman" w:cs="Times New Roman"/>
        </w:rPr>
        <w:t xml:space="preserve"> </w:t>
      </w:r>
      <w:r w:rsidR="00B93A1D" w:rsidRPr="00C549BA">
        <w:rPr>
          <w:rFonts w:ascii="Times New Roman" w:hAnsi="Times New Roman" w:cs="Times New Roman"/>
        </w:rPr>
        <w:t xml:space="preserve">The section discussing the literature about capture explores these ideas in greater detail. </w:t>
      </w:r>
      <w:r w:rsidR="00B93A1D">
        <w:rPr>
          <w:rFonts w:ascii="Times New Roman" w:hAnsi="Times New Roman" w:cs="Times New Roman"/>
        </w:rPr>
        <w:t xml:space="preserve"> </w:t>
      </w:r>
    </w:p>
    <w:p w14:paraId="35F2E7C0" w14:textId="77777777" w:rsidR="00DD5DC7" w:rsidRDefault="00EB603A" w:rsidP="00DD5DC7">
      <w:pPr>
        <w:spacing w:line="480" w:lineRule="auto"/>
        <w:ind w:firstLine="720"/>
        <w:rPr>
          <w:rFonts w:ascii="Times New Roman" w:hAnsi="Times New Roman" w:cs="Times New Roman"/>
        </w:rPr>
      </w:pPr>
      <w:r>
        <w:rPr>
          <w:rFonts w:ascii="Times New Roman" w:hAnsi="Times New Roman" w:cs="Times New Roman"/>
        </w:rPr>
        <w:t>Board interlocks occur when a corporate board shares members with other boards.</w:t>
      </w:r>
      <w:r w:rsidR="00333111">
        <w:rPr>
          <w:rFonts w:ascii="Times New Roman" w:hAnsi="Times New Roman" w:cs="Times New Roman"/>
        </w:rPr>
        <w:t xml:space="preserve"> Since corporate CEOs play an outsize role in determining a firm’s board of directors, a primary motivator is likely their social contact with other CEOs and executives. </w:t>
      </w:r>
      <w:r w:rsidR="00397CDF">
        <w:rPr>
          <w:rFonts w:ascii="Times New Roman" w:hAnsi="Times New Roman" w:cs="Times New Roman"/>
        </w:rPr>
        <w:t>Another incentive to include other executives to supervise management of one’s firm is their relative experience in managing employees and setting firms’ strategies for short-term and longer-term management; by extension, a board member with seats on other boards may be an extra-desirable candidate due to her expertise. Empirical analyses of the determinants of corporate interlocks have identified the size of a firm, the relative importance of company management, the relative competition of the industry of the firm, and, especially prior to advances in travel and communication technology, the location of the firm. (Dooley, 1969) In his 1969 study, Dooley found that larger firms in more competitive industries were more likely to have interlocking directorates; firms with more direct officers on the board were less likely to have interlocking directorates; and that firms in business dense locations such as New York City and Chicago were more likely to have interlocking directorates within their respective cities. (Dooley, 1969) More recent analysis of transnational directorates have found that these geographic dynamics persist to a far lesser degree, but that geography, language, and shared legal systems are still important to the formation and persistence of interlocking directorates, though geographic boundaries have widened considerably. (</w:t>
      </w:r>
      <w:r w:rsidR="00DD5DC7">
        <w:rPr>
          <w:rFonts w:ascii="Times New Roman" w:hAnsi="Times New Roman" w:cs="Times New Roman"/>
        </w:rPr>
        <w:t xml:space="preserve">Burris and Staples, 2012; </w:t>
      </w:r>
      <w:r w:rsidR="00397CDF">
        <w:rPr>
          <w:rFonts w:ascii="Times New Roman" w:hAnsi="Times New Roman" w:cs="Times New Roman"/>
        </w:rPr>
        <w:t>Heemskerk, Fennema, and Carroll, 2016)</w:t>
      </w:r>
    </w:p>
    <w:p w14:paraId="219DD1D1" w14:textId="0618ABD0" w:rsidR="00EC1BB8" w:rsidRPr="00DD5DC7" w:rsidRDefault="00397CDF" w:rsidP="00DD5DC7">
      <w:pPr>
        <w:spacing w:line="480" w:lineRule="auto"/>
        <w:ind w:firstLine="720"/>
        <w:rPr>
          <w:rFonts w:ascii="Times New Roman" w:hAnsi="Times New Roman" w:cs="Times New Roman"/>
        </w:rPr>
      </w:pPr>
      <w:r>
        <w:rPr>
          <w:rFonts w:ascii="Times New Roman" w:hAnsi="Times New Roman" w:cs="Times New Roman"/>
        </w:rPr>
        <w:lastRenderedPageBreak/>
        <w:t xml:space="preserve"> </w:t>
      </w:r>
      <w:r w:rsidRPr="00DD5DC7">
        <w:rPr>
          <w:rFonts w:ascii="Times New Roman" w:hAnsi="Times New Roman" w:cs="Times New Roman"/>
        </w:rPr>
        <w:t>Legal p</w:t>
      </w:r>
      <w:r w:rsidR="00EC1BB8" w:rsidRPr="00DD5DC7">
        <w:rPr>
          <w:rFonts w:ascii="Times New Roman" w:hAnsi="Times New Roman" w:cs="Times New Roman"/>
        </w:rPr>
        <w:t>ractice and custom</w:t>
      </w:r>
      <w:r w:rsidRPr="00DD5DC7">
        <w:rPr>
          <w:rFonts w:ascii="Times New Roman" w:hAnsi="Times New Roman" w:cs="Times New Roman"/>
        </w:rPr>
        <w:t>s are also important determinants of interlocking directorates. For example, US attitudes and German attitudes about interlocking directorates between banks and firms were diametrically opposed in the early 20</w:t>
      </w:r>
      <w:r w:rsidRPr="00DD5DC7">
        <w:rPr>
          <w:rFonts w:ascii="Times New Roman" w:hAnsi="Times New Roman" w:cs="Times New Roman"/>
          <w:vertAlign w:val="superscript"/>
        </w:rPr>
        <w:t>th</w:t>
      </w:r>
      <w:r w:rsidRPr="00DD5DC7">
        <w:rPr>
          <w:rFonts w:ascii="Times New Roman" w:hAnsi="Times New Roman" w:cs="Times New Roman"/>
        </w:rPr>
        <w:t xml:space="preserve"> century.</w:t>
      </w:r>
      <w:r w:rsidR="00EC1BB8" w:rsidRPr="00DD5DC7">
        <w:rPr>
          <w:rFonts w:ascii="Times New Roman" w:hAnsi="Times New Roman" w:cs="Times New Roman"/>
        </w:rPr>
        <w:t xml:space="preserve"> </w:t>
      </w:r>
      <w:r w:rsidR="00DD0CB0" w:rsidRPr="00DD5DC7">
        <w:rPr>
          <w:rFonts w:ascii="Times New Roman" w:hAnsi="Times New Roman" w:cs="Times New Roman"/>
        </w:rPr>
        <w:t>The</w:t>
      </w:r>
      <w:r w:rsidR="00EC1BB8" w:rsidRPr="00DD5DC7">
        <w:rPr>
          <w:rFonts w:ascii="Times New Roman" w:hAnsi="Times New Roman" w:cs="Times New Roman"/>
        </w:rPr>
        <w:t xml:space="preserve"> German tradition of bank management holding seats on German corporate boards </w:t>
      </w:r>
      <w:r w:rsidR="00DD0CB0" w:rsidRPr="00DD5DC7">
        <w:rPr>
          <w:rFonts w:ascii="Times New Roman" w:hAnsi="Times New Roman" w:cs="Times New Roman"/>
        </w:rPr>
        <w:t xml:space="preserve">was </w:t>
      </w:r>
      <w:r w:rsidR="00EC1BB8" w:rsidRPr="00DD5DC7">
        <w:rPr>
          <w:rFonts w:ascii="Times New Roman" w:hAnsi="Times New Roman" w:cs="Times New Roman"/>
        </w:rPr>
        <w:t xml:space="preserve">a key element of </w:t>
      </w:r>
      <w:r w:rsidR="00DD0CB0" w:rsidRPr="00DD5DC7">
        <w:rPr>
          <w:rFonts w:ascii="Times New Roman" w:hAnsi="Times New Roman" w:cs="Times New Roman"/>
        </w:rPr>
        <w:t>its</w:t>
      </w:r>
      <w:r w:rsidR="00EC1BB8" w:rsidRPr="00DD5DC7">
        <w:rPr>
          <w:rFonts w:ascii="Times New Roman" w:hAnsi="Times New Roman" w:cs="Times New Roman"/>
        </w:rPr>
        <w:t xml:space="preserve"> bank-based financial system in which banks had large stakes in the enter</w:t>
      </w:r>
      <w:r w:rsidR="00DD0CB0" w:rsidRPr="00DD5DC7">
        <w:rPr>
          <w:rFonts w:ascii="Times New Roman" w:hAnsi="Times New Roman" w:cs="Times New Roman"/>
        </w:rPr>
        <w:t xml:space="preserve">prises to which they lent funds. (Deeg, 1999) </w:t>
      </w:r>
      <w:r w:rsidR="00EC1BB8" w:rsidRPr="00DD5DC7">
        <w:rPr>
          <w:rFonts w:ascii="Times New Roman" w:hAnsi="Times New Roman" w:cs="Times New Roman"/>
        </w:rPr>
        <w:t>in contrast to the US view that such interlinkages would be inherently anti-competitive. (Brandeis, 1933)</w:t>
      </w:r>
      <w:r w:rsidR="006A7ACD" w:rsidRPr="00DD5DC7">
        <w:rPr>
          <w:rFonts w:ascii="Times New Roman" w:hAnsi="Times New Roman" w:cs="Times New Roman"/>
        </w:rPr>
        <w:t xml:space="preserve"> Brandeis argued that it was impossible for a potential board member to serve ‘two masters’ and simultaneously promote the best interests of both corporation’s shareholders, unless aligning the interests of firms through shared board members resulted in collusion between those firms. (1933) </w:t>
      </w:r>
      <w:r w:rsidR="00816DE9">
        <w:rPr>
          <w:rFonts w:ascii="Times New Roman" w:hAnsi="Times New Roman" w:cs="Times New Roman"/>
        </w:rPr>
        <w:t>While empirical studies have shown little evidence of outright collusion between firms linked by their boards, firms can benefit from the information networks that arise from interlinked boards. (Gulati, 1998; Buch-Hansen 2014)</w:t>
      </w:r>
    </w:p>
    <w:p w14:paraId="33232BD1" w14:textId="2A79FC07" w:rsidR="00B712D2" w:rsidRPr="00BB7FC4" w:rsidRDefault="00E64A04" w:rsidP="00BB7FC4">
      <w:pPr>
        <w:spacing w:line="480" w:lineRule="auto"/>
        <w:ind w:firstLine="720"/>
        <w:rPr>
          <w:rFonts w:ascii="Times New Roman" w:hAnsi="Times New Roman" w:cs="Times New Roman"/>
        </w:rPr>
      </w:pPr>
      <w:r w:rsidRPr="00D521B6">
        <w:rPr>
          <w:rFonts w:ascii="Times New Roman" w:hAnsi="Times New Roman" w:cs="Times New Roman"/>
        </w:rPr>
        <w:t>Mizruchi</w:t>
      </w:r>
      <w:r w:rsidR="00D521B6">
        <w:rPr>
          <w:rFonts w:ascii="Times New Roman" w:hAnsi="Times New Roman" w:cs="Times New Roman"/>
        </w:rPr>
        <w:t>’s 1996 article, “What Do Interlocks Do?”, is a much-sited paper in the field of interlock analysis. Mizruchi identifies several trends and motivations for forming board interlocks. First, interlocks usually result from outside directors’ obligations to other firms</w:t>
      </w:r>
      <w:r w:rsidR="00BB7FC4">
        <w:rPr>
          <w:rFonts w:ascii="Times New Roman" w:hAnsi="Times New Roman" w:cs="Times New Roman"/>
        </w:rPr>
        <w:t>, so a push for greater external oversight could unintentionally increase a firm’s interconnectedness</w:t>
      </w:r>
      <w:r w:rsidR="00D521B6">
        <w:rPr>
          <w:rFonts w:ascii="Times New Roman" w:hAnsi="Times New Roman" w:cs="Times New Roman"/>
        </w:rPr>
        <w:t xml:space="preserve">. Second, </w:t>
      </w:r>
      <w:r w:rsidR="00BB7FC4">
        <w:rPr>
          <w:rFonts w:ascii="Times New Roman" w:hAnsi="Times New Roman" w:cs="Times New Roman"/>
        </w:rPr>
        <w:t xml:space="preserve">firms’ ties to other firms through board interlocks may make them more attractive to investors. Third, access to resources such as bank credit may motivate firms’ decisions to increase their interconnectedness through the corporate board. Social class hegemony is another potential source of interlocks – a CEO’s peers may be CEOS or other executive managers of different firms – as well as a consequence of interlocks. </w:t>
      </w:r>
      <w:r w:rsidR="00E85659" w:rsidRPr="00D521B6">
        <w:rPr>
          <w:rFonts w:ascii="Times New Roman" w:hAnsi="Times New Roman" w:cs="Times New Roman"/>
        </w:rPr>
        <w:t xml:space="preserve"> (</w:t>
      </w:r>
      <w:r w:rsidR="00BB7FC4">
        <w:rPr>
          <w:rFonts w:ascii="Times New Roman" w:hAnsi="Times New Roman" w:cs="Times New Roman"/>
        </w:rPr>
        <w:t xml:space="preserve">Mizruchi, </w:t>
      </w:r>
      <w:r w:rsidR="00E85659" w:rsidRPr="00D521B6">
        <w:rPr>
          <w:rFonts w:ascii="Times New Roman" w:hAnsi="Times New Roman" w:cs="Times New Roman"/>
        </w:rPr>
        <w:t>1996</w:t>
      </w:r>
      <w:r w:rsidR="00BB7FC4">
        <w:rPr>
          <w:rFonts w:ascii="Times New Roman" w:hAnsi="Times New Roman" w:cs="Times New Roman"/>
        </w:rPr>
        <w:t>; Useem, 1986</w:t>
      </w:r>
      <w:r w:rsidR="00E85659" w:rsidRPr="00D521B6">
        <w:rPr>
          <w:rFonts w:ascii="Times New Roman" w:hAnsi="Times New Roman" w:cs="Times New Roman"/>
        </w:rPr>
        <w:t>)</w:t>
      </w:r>
      <w:r w:rsidRPr="00D521B6">
        <w:rPr>
          <w:rFonts w:ascii="Times New Roman" w:hAnsi="Times New Roman" w:cs="Times New Roman"/>
        </w:rPr>
        <w:t xml:space="preserve"> </w:t>
      </w:r>
      <w:r w:rsidR="00892C23" w:rsidRPr="00BB7FC4">
        <w:rPr>
          <w:rFonts w:ascii="Times New Roman" w:hAnsi="Times New Roman" w:cs="Times New Roman"/>
        </w:rPr>
        <w:t xml:space="preserve">As of 1996, </w:t>
      </w:r>
      <w:r w:rsidR="00BB7FC4">
        <w:rPr>
          <w:rFonts w:ascii="Times New Roman" w:hAnsi="Times New Roman" w:cs="Times New Roman"/>
        </w:rPr>
        <w:t xml:space="preserve">Mizruchi acknowledgened </w:t>
      </w:r>
      <w:r w:rsidR="0055375B" w:rsidRPr="00BB7FC4">
        <w:rPr>
          <w:rFonts w:ascii="Times New Roman" w:hAnsi="Times New Roman" w:cs="Times New Roman"/>
        </w:rPr>
        <w:t xml:space="preserve">ambiguous evidence </w:t>
      </w:r>
      <w:r w:rsidR="00BB7FC4">
        <w:rPr>
          <w:rFonts w:ascii="Times New Roman" w:hAnsi="Times New Roman" w:cs="Times New Roman"/>
        </w:rPr>
        <w:t xml:space="preserve">in the literature </w:t>
      </w:r>
      <w:r w:rsidR="0055375B" w:rsidRPr="00BB7FC4">
        <w:rPr>
          <w:rFonts w:ascii="Times New Roman" w:hAnsi="Times New Roman" w:cs="Times New Roman"/>
        </w:rPr>
        <w:t>about the effect of interlocking directorates in the US on firms’ profits, experience with corporate takeovers, or</w:t>
      </w:r>
      <w:r w:rsidR="00392E4B" w:rsidRPr="00BB7FC4">
        <w:rPr>
          <w:rFonts w:ascii="Times New Roman" w:hAnsi="Times New Roman" w:cs="Times New Roman"/>
        </w:rPr>
        <w:t xml:space="preserve"> </w:t>
      </w:r>
      <w:r w:rsidR="00392E4B" w:rsidRPr="00BB7FC4">
        <w:rPr>
          <w:rFonts w:ascii="Times New Roman" w:hAnsi="Times New Roman" w:cs="Times New Roman"/>
        </w:rPr>
        <w:lastRenderedPageBreak/>
        <w:t>political contribution records</w:t>
      </w:r>
      <w:r w:rsidR="00BB7FC4">
        <w:rPr>
          <w:rFonts w:ascii="Times New Roman" w:hAnsi="Times New Roman" w:cs="Times New Roman"/>
        </w:rPr>
        <w:t>. There is the</w:t>
      </w:r>
      <w:r w:rsidR="00392E4B" w:rsidRPr="00BB7FC4">
        <w:rPr>
          <w:rFonts w:ascii="Times New Roman" w:hAnsi="Times New Roman" w:cs="Times New Roman"/>
        </w:rPr>
        <w:t xml:space="preserve"> potential for positive or negative consequences of firm interlocks, either because the connections allow for coordination, or because they drag on directors’ attention and management stamina. </w:t>
      </w:r>
      <w:r w:rsidR="000138F0" w:rsidRPr="00BB7FC4">
        <w:rPr>
          <w:rFonts w:ascii="Times New Roman" w:hAnsi="Times New Roman" w:cs="Times New Roman"/>
        </w:rPr>
        <w:t>(Non and Franses, 2007)</w:t>
      </w:r>
    </w:p>
    <w:p w14:paraId="3399D4EF" w14:textId="290103E9" w:rsidR="003228E2" w:rsidRPr="00195C3C" w:rsidRDefault="00BB7FC4" w:rsidP="00195C3C">
      <w:pPr>
        <w:spacing w:line="480" w:lineRule="auto"/>
        <w:ind w:firstLine="720"/>
        <w:rPr>
          <w:rFonts w:ascii="Times New Roman" w:hAnsi="Times New Roman" w:cs="Times New Roman"/>
        </w:rPr>
      </w:pPr>
      <w:r w:rsidRPr="00BB7FC4">
        <w:rPr>
          <w:rFonts w:ascii="Times New Roman" w:hAnsi="Times New Roman" w:cs="Times New Roman"/>
        </w:rPr>
        <w:t xml:space="preserve">Since 1996, there has been a proliferation of empirical studies in sociology, political science, economics, and management about the </w:t>
      </w:r>
      <w:r w:rsidR="0055375B" w:rsidRPr="00BB7FC4">
        <w:rPr>
          <w:rFonts w:ascii="Times New Roman" w:hAnsi="Times New Roman" w:cs="Times New Roman"/>
        </w:rPr>
        <w:t>empirical consequences of</w:t>
      </w:r>
      <w:r w:rsidR="00E64A04" w:rsidRPr="00BB7FC4">
        <w:rPr>
          <w:rFonts w:ascii="Times New Roman" w:hAnsi="Times New Roman" w:cs="Times New Roman"/>
        </w:rPr>
        <w:t xml:space="preserve"> interlocks</w:t>
      </w:r>
      <w:r>
        <w:rPr>
          <w:rFonts w:ascii="Times New Roman" w:hAnsi="Times New Roman" w:cs="Times New Roman"/>
        </w:rPr>
        <w:t xml:space="preserve">. Burris (2005) showed </w:t>
      </w:r>
      <w:r w:rsidRPr="00BB7FC4">
        <w:rPr>
          <w:rFonts w:ascii="Times New Roman" w:hAnsi="Times New Roman" w:cs="Times New Roman"/>
        </w:rPr>
        <w:t>there is a positive and statistically significant correlation between firm interlocks and campaign contributions to the same actors and parties.</w:t>
      </w:r>
      <w:r>
        <w:rPr>
          <w:rFonts w:ascii="Times New Roman" w:hAnsi="Times New Roman" w:cs="Times New Roman"/>
        </w:rPr>
        <w:t xml:space="preserve"> Case studies about the effects of board interlocks on economic performance seem to show a consistently negative correlation between volume or type of interlocks and different measures of firm performance, mainly return on assets and market-to-book ratios, which measure the ratio between market capitalization </w:t>
      </w:r>
      <w:r w:rsidR="00195C3C">
        <w:rPr>
          <w:rFonts w:ascii="Times New Roman" w:hAnsi="Times New Roman" w:cs="Times New Roman"/>
        </w:rPr>
        <w:t xml:space="preserve">(the total value of a company’s shares of stock) and the difference between that firm’s total assets and liabilities. Drago, Millio, Ricciuti, and Santella (2011) </w:t>
      </w:r>
      <w:r w:rsidR="00DA478F" w:rsidRPr="00195C3C">
        <w:rPr>
          <w:rFonts w:ascii="Times New Roman" w:hAnsi="Times New Roman" w:cs="Times New Roman"/>
        </w:rPr>
        <w:t xml:space="preserve">show a negative relationship between the volume of interlocking directorships </w:t>
      </w:r>
      <w:r w:rsidR="002B2340" w:rsidRPr="00195C3C">
        <w:rPr>
          <w:rFonts w:ascii="Times New Roman" w:hAnsi="Times New Roman" w:cs="Times New Roman"/>
        </w:rPr>
        <w:t xml:space="preserve">(degree of connections) </w:t>
      </w:r>
      <w:r w:rsidR="00DA478F" w:rsidRPr="00195C3C">
        <w:rPr>
          <w:rFonts w:ascii="Times New Roman" w:hAnsi="Times New Roman" w:cs="Times New Roman"/>
        </w:rPr>
        <w:t>and firm performance</w:t>
      </w:r>
      <w:r w:rsidR="002B2340" w:rsidRPr="00195C3C">
        <w:rPr>
          <w:rFonts w:ascii="Times New Roman" w:hAnsi="Times New Roman" w:cs="Times New Roman"/>
        </w:rPr>
        <w:t xml:space="preserve"> </w:t>
      </w:r>
      <w:r w:rsidR="00712312" w:rsidRPr="00195C3C">
        <w:rPr>
          <w:rFonts w:ascii="Times New Roman" w:hAnsi="Times New Roman" w:cs="Times New Roman"/>
        </w:rPr>
        <w:t>in terms of market-to-book ratios (the ratio between market capitalization to the difference between total assets and total liabilities for a given firm)</w:t>
      </w:r>
      <w:r w:rsidR="00DA478F" w:rsidRPr="00195C3C">
        <w:rPr>
          <w:rFonts w:ascii="Times New Roman" w:hAnsi="Times New Roman" w:cs="Times New Roman"/>
        </w:rPr>
        <w:t>, as well as statistically significant deterrent effect of Italian corporate governance reform on the incidence of interlocking directorships.</w:t>
      </w:r>
      <w:r w:rsidR="00195C3C">
        <w:rPr>
          <w:rFonts w:ascii="Times New Roman" w:hAnsi="Times New Roman" w:cs="Times New Roman"/>
        </w:rPr>
        <w:t xml:space="preserve"> </w:t>
      </w:r>
      <w:r w:rsidR="00195C3C" w:rsidRPr="00195C3C">
        <w:rPr>
          <w:rFonts w:ascii="Times New Roman" w:hAnsi="Times New Roman" w:cs="Times New Roman"/>
        </w:rPr>
        <w:t>Non and Franses (2007) showed that</w:t>
      </w:r>
      <w:r w:rsidR="00712312" w:rsidRPr="00195C3C">
        <w:rPr>
          <w:rFonts w:ascii="Times New Roman" w:hAnsi="Times New Roman" w:cs="Times New Roman"/>
        </w:rPr>
        <w:t xml:space="preserve"> current interlocks among 101 large Dutch firms can have a negative effect on future firm performance</w:t>
      </w:r>
      <w:r w:rsidR="000138F0" w:rsidRPr="00195C3C">
        <w:rPr>
          <w:rFonts w:ascii="Times New Roman" w:hAnsi="Times New Roman" w:cs="Times New Roman"/>
        </w:rPr>
        <w:t>, measured by stock returns, price-earnings and price-to-book ratios, and returns</w:t>
      </w:r>
      <w:r w:rsidR="0019379C" w:rsidRPr="00195C3C">
        <w:rPr>
          <w:rFonts w:ascii="Times New Roman" w:hAnsi="Times New Roman" w:cs="Times New Roman"/>
        </w:rPr>
        <w:t xml:space="preserve"> on assets and equity from 1994 through 2004.</w:t>
      </w:r>
      <w:r w:rsidR="00195C3C">
        <w:rPr>
          <w:rFonts w:ascii="Times New Roman" w:hAnsi="Times New Roman" w:cs="Times New Roman"/>
        </w:rPr>
        <w:t xml:space="preserve"> </w:t>
      </w:r>
      <w:r w:rsidR="00195C3C" w:rsidRPr="00195C3C">
        <w:rPr>
          <w:rFonts w:ascii="Times New Roman" w:hAnsi="Times New Roman" w:cs="Times New Roman"/>
        </w:rPr>
        <w:t>Santos, da Silveira, and Barros (2012) identified g</w:t>
      </w:r>
      <w:r w:rsidR="00D521B6" w:rsidRPr="00195C3C">
        <w:rPr>
          <w:rFonts w:ascii="Times New Roman" w:hAnsi="Times New Roman" w:cs="Times New Roman"/>
        </w:rPr>
        <w:t xml:space="preserve">rowing trend of interlocks in Brazilian firms from 2001 through 2005, a negative correlation between the ratio of outside directors with other board seats and return on assets, as well as a possible ‘u-shaped relationship between some of the interlocking practices and return on assets… compatible with the hypothesis that moderate levels of interlocking may </w:t>
      </w:r>
      <w:r w:rsidR="00D521B6" w:rsidRPr="00195C3C">
        <w:rPr>
          <w:rFonts w:ascii="Times New Roman" w:hAnsi="Times New Roman" w:cs="Times New Roman"/>
        </w:rPr>
        <w:lastRenderedPageBreak/>
        <w:t>benefit companies, while a high degree of interlocking may damage their performance.” (Santos, da Silveira, and Barros, 2012, 3 – 4)</w:t>
      </w:r>
      <w:r w:rsidR="00195C3C">
        <w:rPr>
          <w:rFonts w:ascii="Times New Roman" w:hAnsi="Times New Roman" w:cs="Times New Roman"/>
        </w:rPr>
        <w:t xml:space="preserve"> </w:t>
      </w:r>
      <w:r w:rsidR="00F03E64">
        <w:rPr>
          <w:rFonts w:ascii="Times New Roman" w:hAnsi="Times New Roman" w:cs="Times New Roman"/>
        </w:rPr>
        <w:t xml:space="preserve">On the other hand, work by Phan, Lee, and Lau (2003) shows a positive correlation between firm interlocks and return on equity in Singapore. </w:t>
      </w:r>
      <w:r w:rsidR="00512160">
        <w:rPr>
          <w:rFonts w:ascii="Times New Roman" w:hAnsi="Times New Roman" w:cs="Times New Roman"/>
        </w:rPr>
        <w:t>Taken toget</w:t>
      </w:r>
      <w:r w:rsidR="00A175CD">
        <w:rPr>
          <w:rFonts w:ascii="Times New Roman" w:hAnsi="Times New Roman" w:cs="Times New Roman"/>
        </w:rPr>
        <w:t xml:space="preserve">her, these studies show why an analysis of how connected large European firms are at the board level should be useful information. </w:t>
      </w:r>
    </w:p>
    <w:p w14:paraId="4881A8E2" w14:textId="2059F13A" w:rsidR="0056269A" w:rsidRDefault="00216491" w:rsidP="00A1335C">
      <w:pPr>
        <w:spacing w:line="480" w:lineRule="auto"/>
        <w:ind w:firstLine="720"/>
        <w:rPr>
          <w:rFonts w:ascii="Times New Roman" w:hAnsi="Times New Roman" w:cs="Times New Roman"/>
        </w:rPr>
      </w:pPr>
      <w:r w:rsidRPr="0056269A">
        <w:rPr>
          <w:rFonts w:ascii="Times New Roman" w:hAnsi="Times New Roman" w:cs="Times New Roman"/>
        </w:rPr>
        <w:t xml:space="preserve">Regulatory </w:t>
      </w:r>
      <w:r w:rsidR="00EB603A">
        <w:rPr>
          <w:rFonts w:ascii="Times New Roman" w:hAnsi="Times New Roman" w:cs="Times New Roman"/>
        </w:rPr>
        <w:t>c</w:t>
      </w:r>
      <w:r w:rsidRPr="0056269A">
        <w:rPr>
          <w:rFonts w:ascii="Times New Roman" w:hAnsi="Times New Roman" w:cs="Times New Roman"/>
        </w:rPr>
        <w:t>apture</w:t>
      </w:r>
      <w:r w:rsidR="001E2BFD" w:rsidRPr="0056269A">
        <w:rPr>
          <w:rFonts w:ascii="Times New Roman" w:hAnsi="Times New Roman" w:cs="Times New Roman"/>
        </w:rPr>
        <w:t xml:space="preserve"> </w:t>
      </w:r>
      <w:r w:rsidR="0056269A" w:rsidRPr="0056269A">
        <w:rPr>
          <w:rFonts w:ascii="Times New Roman" w:hAnsi="Times New Roman" w:cs="Times New Roman"/>
        </w:rPr>
        <w:t>is</w:t>
      </w:r>
      <w:r w:rsidR="001E2BFD" w:rsidRPr="0056269A">
        <w:rPr>
          <w:rFonts w:ascii="Times New Roman" w:hAnsi="Times New Roman" w:cs="Times New Roman"/>
        </w:rPr>
        <w:t xml:space="preserve"> the </w:t>
      </w:r>
      <w:r w:rsidR="002F6642" w:rsidRPr="0056269A">
        <w:rPr>
          <w:rFonts w:ascii="Times New Roman" w:hAnsi="Times New Roman" w:cs="Times New Roman"/>
        </w:rPr>
        <w:t>‘result or process by which regulation, in law or application, is consistently or repeatedly directed away from the public interest and toward the interests of the regulated industry, by the intent and action of the industry itself</w:t>
      </w:r>
      <w:r w:rsidR="009B2477" w:rsidRPr="0056269A">
        <w:rPr>
          <w:rFonts w:ascii="Times New Roman" w:hAnsi="Times New Roman" w:cs="Times New Roman"/>
        </w:rPr>
        <w:t>.</w:t>
      </w:r>
      <w:r w:rsidR="002F6642" w:rsidRPr="0056269A">
        <w:rPr>
          <w:rFonts w:ascii="Times New Roman" w:hAnsi="Times New Roman" w:cs="Times New Roman"/>
        </w:rPr>
        <w:t>”</w:t>
      </w:r>
      <w:r w:rsidR="009B2477" w:rsidRPr="0056269A">
        <w:rPr>
          <w:rFonts w:ascii="Times New Roman" w:hAnsi="Times New Roman" w:cs="Times New Roman"/>
        </w:rPr>
        <w:t xml:space="preserve"> (Carpenter and Moss, 2014</w:t>
      </w:r>
      <w:r w:rsidR="002F6642" w:rsidRPr="0056269A">
        <w:rPr>
          <w:rFonts w:ascii="Times New Roman" w:hAnsi="Times New Roman" w:cs="Times New Roman"/>
        </w:rPr>
        <w:t>, 13</w:t>
      </w:r>
      <w:r w:rsidR="009B2477" w:rsidRPr="0056269A">
        <w:rPr>
          <w:rFonts w:ascii="Times New Roman" w:hAnsi="Times New Roman" w:cs="Times New Roman"/>
        </w:rPr>
        <w:t>)</w:t>
      </w:r>
      <w:r w:rsidR="0056269A">
        <w:rPr>
          <w:rFonts w:ascii="Times New Roman" w:hAnsi="Times New Roman" w:cs="Times New Roman"/>
        </w:rPr>
        <w:t xml:space="preserve"> </w:t>
      </w:r>
      <w:r w:rsidR="009B3C62" w:rsidRPr="0056269A">
        <w:rPr>
          <w:rFonts w:ascii="Times New Roman" w:hAnsi="Times New Roman" w:cs="Times New Roman"/>
        </w:rPr>
        <w:t>George Stigler</w:t>
      </w:r>
      <w:r w:rsidR="00544D42" w:rsidRPr="0056269A">
        <w:rPr>
          <w:rFonts w:ascii="Times New Roman" w:hAnsi="Times New Roman" w:cs="Times New Roman"/>
        </w:rPr>
        <w:t>, a prime figure in the discipline of economic regulation, argued</w:t>
      </w:r>
      <w:r w:rsidR="009B3C62" w:rsidRPr="0056269A">
        <w:rPr>
          <w:rFonts w:ascii="Times New Roman" w:hAnsi="Times New Roman" w:cs="Times New Roman"/>
        </w:rPr>
        <w:t xml:space="preserve"> that regulation w</w:t>
      </w:r>
      <w:r w:rsidR="00A97F6F" w:rsidRPr="0056269A">
        <w:rPr>
          <w:rFonts w:ascii="Times New Roman" w:hAnsi="Times New Roman" w:cs="Times New Roman"/>
        </w:rPr>
        <w:t>as</w:t>
      </w:r>
      <w:r w:rsidR="009B3C62" w:rsidRPr="0056269A">
        <w:rPr>
          <w:rFonts w:ascii="Times New Roman" w:hAnsi="Times New Roman" w:cs="Times New Roman"/>
        </w:rPr>
        <w:t xml:space="preserve"> </w:t>
      </w:r>
      <w:r w:rsidR="00332BD6" w:rsidRPr="0056269A">
        <w:rPr>
          <w:rFonts w:ascii="Times New Roman" w:hAnsi="Times New Roman" w:cs="Times New Roman"/>
        </w:rPr>
        <w:t>“acquired by industry and … designed and operated primarily for its benefit,” in order to eliminate competition</w:t>
      </w:r>
      <w:r w:rsidR="001133AA" w:rsidRPr="0056269A">
        <w:rPr>
          <w:rFonts w:ascii="Times New Roman" w:hAnsi="Times New Roman" w:cs="Times New Roman"/>
        </w:rPr>
        <w:t>. (Stigler, 1971, 3) In general, Stigler predicted that the benefits of economic regulation to the industry pursuing it to the detriment of its competition would be less than the cost of that regulation to the community as a whole; in such an interpretation, economic regulation could only benefit the firms that, through the provision of votes or resources, had captured government to act in their interest.</w:t>
      </w:r>
      <w:r w:rsidR="00373CB2" w:rsidRPr="0056269A">
        <w:rPr>
          <w:rFonts w:ascii="Times New Roman" w:hAnsi="Times New Roman" w:cs="Times New Roman"/>
        </w:rPr>
        <w:t xml:space="preserve"> </w:t>
      </w:r>
      <w:r w:rsidR="001133AA" w:rsidRPr="0056269A">
        <w:rPr>
          <w:rFonts w:ascii="Times New Roman" w:hAnsi="Times New Roman" w:cs="Times New Roman"/>
        </w:rPr>
        <w:t>(Stigler, 1971) Carpenter and Moss (2014) characterize this as strong capture in which “the public would be better served by either (a) no regulation of the action in question – because the benefits of regulation are outweighed by the costs of capture, or (b) comprehensive replacement of the policy and agency in question.” (Carpenter and Moss, 2014, 11)</w:t>
      </w:r>
      <w:r w:rsidR="0056269A">
        <w:rPr>
          <w:rFonts w:ascii="Times New Roman" w:hAnsi="Times New Roman" w:cs="Times New Roman"/>
        </w:rPr>
        <w:t xml:space="preserve"> </w:t>
      </w:r>
    </w:p>
    <w:p w14:paraId="3F59DE62" w14:textId="3138C08B" w:rsidR="00216491" w:rsidRPr="0056269A" w:rsidRDefault="009B3C62" w:rsidP="00A1335C">
      <w:pPr>
        <w:spacing w:line="480" w:lineRule="auto"/>
        <w:ind w:firstLine="720"/>
        <w:rPr>
          <w:rFonts w:ascii="Times New Roman" w:hAnsi="Times New Roman" w:cs="Times New Roman"/>
        </w:rPr>
      </w:pPr>
      <w:r w:rsidRPr="0056269A">
        <w:rPr>
          <w:rFonts w:ascii="Times New Roman" w:hAnsi="Times New Roman" w:cs="Times New Roman"/>
        </w:rPr>
        <w:t>Mancur Olson</w:t>
      </w:r>
      <w:r w:rsidR="0056269A" w:rsidRPr="0056269A">
        <w:rPr>
          <w:rFonts w:ascii="Times New Roman" w:hAnsi="Times New Roman" w:cs="Times New Roman"/>
        </w:rPr>
        <w:t xml:space="preserve"> argued that </w:t>
      </w:r>
      <w:r w:rsidR="00923D1A" w:rsidRPr="0056269A">
        <w:rPr>
          <w:rFonts w:ascii="Times New Roman" w:hAnsi="Times New Roman" w:cs="Times New Roman"/>
        </w:rPr>
        <w:t xml:space="preserve">when firms and other industrial actors have a vested interest in the outcome of potential regulation, they will lobby government actors to influence those outcomes in their favor. (Olson, </w:t>
      </w:r>
      <w:r w:rsidR="0056269A" w:rsidRPr="0056269A">
        <w:rPr>
          <w:rFonts w:ascii="Times New Roman" w:hAnsi="Times New Roman" w:cs="Times New Roman"/>
        </w:rPr>
        <w:t xml:space="preserve">1982) </w:t>
      </w:r>
      <w:r w:rsidR="00923D1A" w:rsidRPr="0056269A">
        <w:rPr>
          <w:rFonts w:ascii="Times New Roman" w:hAnsi="Times New Roman" w:cs="Times New Roman"/>
        </w:rPr>
        <w:t>This may result in the strong</w:t>
      </w:r>
      <w:r w:rsidR="0056269A" w:rsidRPr="0056269A">
        <w:rPr>
          <w:rFonts w:ascii="Times New Roman" w:hAnsi="Times New Roman" w:cs="Times New Roman"/>
        </w:rPr>
        <w:t xml:space="preserve"> capture predicted by Stigler, or in weak capture, defined by Carpenter and Moss (2014) as when</w:t>
      </w:r>
      <w:r w:rsidRPr="0056269A">
        <w:rPr>
          <w:rFonts w:ascii="Times New Roman" w:hAnsi="Times New Roman" w:cs="Times New Roman"/>
        </w:rPr>
        <w:t xml:space="preserve"> </w:t>
      </w:r>
      <w:r w:rsidR="0056269A" w:rsidRPr="0056269A">
        <w:rPr>
          <w:rFonts w:ascii="Times New Roman" w:hAnsi="Times New Roman" w:cs="Times New Roman"/>
        </w:rPr>
        <w:t>“</w:t>
      </w:r>
      <w:r w:rsidRPr="0056269A">
        <w:rPr>
          <w:rFonts w:ascii="Times New Roman" w:hAnsi="Times New Roman" w:cs="Times New Roman"/>
        </w:rPr>
        <w:t xml:space="preserve">special interest influence </w:t>
      </w:r>
      <w:r w:rsidRPr="0056269A">
        <w:rPr>
          <w:rFonts w:ascii="Times New Roman" w:hAnsi="Times New Roman" w:cs="Times New Roman"/>
        </w:rPr>
        <w:lastRenderedPageBreak/>
        <w:t xml:space="preserve">compromises the capacity of regulation to enhance the public interest, but the public is still being served by regulation, relative to the baseline of no regulation. In other words, weak capture prevails when the </w:t>
      </w:r>
      <w:r w:rsidRPr="0056269A">
        <w:rPr>
          <w:rFonts w:ascii="Times New Roman" w:hAnsi="Times New Roman" w:cs="Times New Roman"/>
          <w:i/>
        </w:rPr>
        <w:t>net</w:t>
      </w:r>
      <w:r w:rsidRPr="0056269A">
        <w:rPr>
          <w:rFonts w:ascii="Times New Roman" w:hAnsi="Times New Roman" w:cs="Times New Roman"/>
        </w:rPr>
        <w:t xml:space="preserve"> social benefits of regulation are diminished as a result of special interest influence, but remain positive overall.” (Carpenter and Moss, 2014, 12)</w:t>
      </w:r>
      <w:r w:rsidR="0056269A">
        <w:rPr>
          <w:rFonts w:ascii="Times New Roman" w:hAnsi="Times New Roman" w:cs="Times New Roman"/>
        </w:rPr>
        <w:t xml:space="preserve"> </w:t>
      </w:r>
      <w:r w:rsidR="00137E85" w:rsidRPr="0056269A">
        <w:rPr>
          <w:rFonts w:ascii="Times New Roman" w:hAnsi="Times New Roman" w:cs="Times New Roman"/>
        </w:rPr>
        <w:t>While there is broad agreement that regulatory capture is rarely so stark as quid pro quos between politicians, regulatory actors or agencies, and firms being governed that demonstrably benefit some corporate interests at the expense of their competitors</w:t>
      </w:r>
      <w:r w:rsidR="0056269A" w:rsidRPr="0056269A">
        <w:rPr>
          <w:rFonts w:ascii="Times New Roman" w:hAnsi="Times New Roman" w:cs="Times New Roman"/>
        </w:rPr>
        <w:t xml:space="preserve"> and the public at large</w:t>
      </w:r>
      <w:r w:rsidR="00137E85" w:rsidRPr="0056269A">
        <w:rPr>
          <w:rFonts w:ascii="Times New Roman" w:hAnsi="Times New Roman" w:cs="Times New Roman"/>
        </w:rPr>
        <w:t>, there is evidence of</w:t>
      </w:r>
      <w:r w:rsidR="0056269A" w:rsidRPr="0056269A">
        <w:rPr>
          <w:rFonts w:ascii="Times New Roman" w:hAnsi="Times New Roman" w:cs="Times New Roman"/>
        </w:rPr>
        <w:t xml:space="preserve"> </w:t>
      </w:r>
      <w:r w:rsidR="009B2477" w:rsidRPr="0056269A">
        <w:rPr>
          <w:rFonts w:ascii="Times New Roman" w:hAnsi="Times New Roman" w:cs="Times New Roman"/>
        </w:rPr>
        <w:t>the deterioration of regulations (whether in legal code or in practice) that benefit actors in particular industries</w:t>
      </w:r>
      <w:r w:rsidR="0056269A" w:rsidRPr="0056269A">
        <w:rPr>
          <w:rFonts w:ascii="Times New Roman" w:hAnsi="Times New Roman" w:cs="Times New Roman"/>
        </w:rPr>
        <w:t>, which Carpenter and Moss define as ‘corrosive capture.’</w:t>
      </w:r>
      <w:r w:rsidR="009B2477" w:rsidRPr="0056269A">
        <w:rPr>
          <w:rFonts w:ascii="Times New Roman" w:hAnsi="Times New Roman" w:cs="Times New Roman"/>
        </w:rPr>
        <w:t xml:space="preserve"> (2014)</w:t>
      </w:r>
    </w:p>
    <w:p w14:paraId="432313EE" w14:textId="2BF0A102" w:rsidR="00813C5E" w:rsidRDefault="0056269A" w:rsidP="00A1335C">
      <w:pPr>
        <w:spacing w:line="480" w:lineRule="auto"/>
        <w:ind w:firstLine="720"/>
        <w:rPr>
          <w:rFonts w:ascii="Times New Roman" w:hAnsi="Times New Roman" w:cs="Times New Roman"/>
        </w:rPr>
      </w:pPr>
      <w:r w:rsidRPr="0056269A">
        <w:rPr>
          <w:rFonts w:ascii="Times New Roman" w:hAnsi="Times New Roman" w:cs="Times New Roman"/>
        </w:rPr>
        <w:t xml:space="preserve">Kwak </w:t>
      </w:r>
      <w:r>
        <w:rPr>
          <w:rFonts w:ascii="Times New Roman" w:hAnsi="Times New Roman" w:cs="Times New Roman"/>
        </w:rPr>
        <w:t xml:space="preserve">(2014) </w:t>
      </w:r>
      <w:r w:rsidRPr="0056269A">
        <w:rPr>
          <w:rFonts w:ascii="Times New Roman" w:hAnsi="Times New Roman" w:cs="Times New Roman"/>
        </w:rPr>
        <w:t>further refines the notion of regulatory capture in his discussion of c</w:t>
      </w:r>
      <w:r w:rsidR="00216491" w:rsidRPr="0056269A">
        <w:rPr>
          <w:rFonts w:ascii="Times New Roman" w:hAnsi="Times New Roman" w:cs="Times New Roman"/>
        </w:rPr>
        <w:t>ultural capture</w:t>
      </w:r>
      <w:r w:rsidR="009B2477" w:rsidRPr="0056269A">
        <w:rPr>
          <w:rFonts w:ascii="Times New Roman" w:hAnsi="Times New Roman" w:cs="Times New Roman"/>
        </w:rPr>
        <w:t xml:space="preserve"> – the process by which actors in particular industries establish common ground with regulators in the interest of minimizing the regulatory burdens imposed upon them</w:t>
      </w:r>
      <w:r>
        <w:rPr>
          <w:rFonts w:ascii="Times New Roman" w:hAnsi="Times New Roman" w:cs="Times New Roman"/>
        </w:rPr>
        <w:t>.</w:t>
      </w:r>
      <w:r w:rsidR="009B2477" w:rsidRPr="0056269A">
        <w:rPr>
          <w:rFonts w:ascii="Times New Roman" w:hAnsi="Times New Roman" w:cs="Times New Roman"/>
        </w:rPr>
        <w:t xml:space="preserve"> </w:t>
      </w:r>
      <w:r>
        <w:rPr>
          <w:rFonts w:ascii="Times New Roman" w:hAnsi="Times New Roman" w:cs="Times New Roman"/>
        </w:rPr>
        <w:t xml:space="preserve">Firms have strong incentives to make common cause with regulators, if it stands to potentially reduce their regulatory burden, or to give them inside access to the mechanics of creating and implementing policies, while regulatory agency workers have an incentive to avoid offending business actors if they see firms and their employees as peers, or if they could envision themselves working for those firms at a later date. </w:t>
      </w:r>
      <w:r w:rsidR="00A175CD">
        <w:rPr>
          <w:rFonts w:ascii="Times New Roman" w:hAnsi="Times New Roman" w:cs="Times New Roman"/>
        </w:rPr>
        <w:t xml:space="preserve">Regulators also have incentives to soften their stances on the businesses that they regulate. In order to acquire information about the industries they regulate, regulators may assume that cordial relations will leave firms more willing to share that information with regulators. </w:t>
      </w:r>
      <w:r w:rsidR="00813C5E">
        <w:rPr>
          <w:rFonts w:ascii="Times New Roman" w:hAnsi="Times New Roman" w:cs="Times New Roman"/>
        </w:rPr>
        <w:t xml:space="preserve">McCarty has shown that the input of firms on the regulation of complex industrial practices – such as finance – is likely to reduce the bite of legal regulations once laws go into effect. (2014) </w:t>
      </w:r>
      <w:r w:rsidR="00A175CD">
        <w:rPr>
          <w:rFonts w:ascii="Times New Roman" w:hAnsi="Times New Roman" w:cs="Times New Roman"/>
        </w:rPr>
        <w:t xml:space="preserve">Regulators may be come to know and relate to the interests of the private sector institutions they regulate merely through the process of working in proximity </w:t>
      </w:r>
      <w:r w:rsidR="00A175CD">
        <w:rPr>
          <w:rFonts w:ascii="Times New Roman" w:hAnsi="Times New Roman" w:cs="Times New Roman"/>
        </w:rPr>
        <w:lastRenderedPageBreak/>
        <w:t>to business. The disproportionate compensation in industry compared to government regulation is also a consideration regulators acknowledge – to avoid burning bridges with the private sector</w:t>
      </w:r>
      <w:r w:rsidR="00813C5E">
        <w:rPr>
          <w:rFonts w:ascii="Times New Roman" w:hAnsi="Times New Roman" w:cs="Times New Roman"/>
        </w:rPr>
        <w:t xml:space="preserve"> and keep open the possibility of employment in the private sector</w:t>
      </w:r>
      <w:r w:rsidR="00A175CD">
        <w:rPr>
          <w:rFonts w:ascii="Times New Roman" w:hAnsi="Times New Roman" w:cs="Times New Roman"/>
        </w:rPr>
        <w:t>, regulators may go easier on firms</w:t>
      </w:r>
      <w:r w:rsidR="00813C5E">
        <w:rPr>
          <w:rFonts w:ascii="Times New Roman" w:hAnsi="Times New Roman" w:cs="Times New Roman"/>
        </w:rPr>
        <w:t>. (Kwak, 2014)</w:t>
      </w:r>
    </w:p>
    <w:p w14:paraId="38F31273" w14:textId="03AD3D12" w:rsidR="00A175CD" w:rsidRDefault="0056269A" w:rsidP="00A1335C">
      <w:pPr>
        <w:spacing w:line="480" w:lineRule="auto"/>
        <w:ind w:firstLine="720"/>
        <w:rPr>
          <w:rFonts w:ascii="Times New Roman" w:hAnsi="Times New Roman" w:cs="Times New Roman"/>
        </w:rPr>
      </w:pPr>
      <w:r>
        <w:rPr>
          <w:rFonts w:ascii="Times New Roman" w:hAnsi="Times New Roman" w:cs="Times New Roman"/>
        </w:rPr>
        <w:t>Zingales (2014)</w:t>
      </w:r>
      <w:r w:rsidR="00A1335C">
        <w:rPr>
          <w:rFonts w:ascii="Times New Roman" w:hAnsi="Times New Roman" w:cs="Times New Roman"/>
        </w:rPr>
        <w:t xml:space="preserve"> argued that if regulators are at risk of capture, so to</w:t>
      </w:r>
      <w:r w:rsidR="001107A7">
        <w:rPr>
          <w:rFonts w:ascii="Times New Roman" w:hAnsi="Times New Roman" w:cs="Times New Roman"/>
        </w:rPr>
        <w:t>o</w:t>
      </w:r>
      <w:r w:rsidR="00A1335C">
        <w:rPr>
          <w:rFonts w:ascii="Times New Roman" w:hAnsi="Times New Roman" w:cs="Times New Roman"/>
        </w:rPr>
        <w:t xml:space="preserve"> are economists and other academics that study business, </w:t>
      </w:r>
      <w:r w:rsidR="00853E40">
        <w:rPr>
          <w:rFonts w:ascii="Times New Roman" w:hAnsi="Times New Roman" w:cs="Times New Roman"/>
        </w:rPr>
        <w:t>since</w:t>
      </w:r>
      <w:r w:rsidR="00A1335C">
        <w:rPr>
          <w:rFonts w:ascii="Times New Roman" w:hAnsi="Times New Roman" w:cs="Times New Roman"/>
        </w:rPr>
        <w:t xml:space="preserve"> economists have the ability to sway opinio</w:t>
      </w:r>
      <w:r w:rsidR="00853E40">
        <w:rPr>
          <w:rFonts w:ascii="Times New Roman" w:hAnsi="Times New Roman" w:cs="Times New Roman"/>
        </w:rPr>
        <w:t>n about firms in their research, and may</w:t>
      </w:r>
      <w:r w:rsidR="00A1335C">
        <w:rPr>
          <w:rFonts w:ascii="Times New Roman" w:hAnsi="Times New Roman" w:cs="Times New Roman"/>
        </w:rPr>
        <w:t xml:space="preserve"> provide expert testimony on behalf of </w:t>
      </w:r>
      <w:r w:rsidR="00853E40">
        <w:rPr>
          <w:rFonts w:ascii="Times New Roman" w:hAnsi="Times New Roman" w:cs="Times New Roman"/>
        </w:rPr>
        <w:t>industry</w:t>
      </w:r>
      <w:r w:rsidR="00A1335C">
        <w:rPr>
          <w:rFonts w:ascii="Times New Roman" w:hAnsi="Times New Roman" w:cs="Times New Roman"/>
        </w:rPr>
        <w:t xml:space="preserve">. </w:t>
      </w:r>
      <w:r w:rsidR="00853E40">
        <w:rPr>
          <w:rFonts w:ascii="Times New Roman" w:hAnsi="Times New Roman" w:cs="Times New Roman"/>
        </w:rPr>
        <w:t xml:space="preserve">As with regulators, economists that want access to firms’ proprietary data will be more likely to present flattering portraits of private sector behavior in order to maintain access to data, or to receive permission to publish their reports, depending on the type of publication in question. Zingales cites the rise of the importance of case studies in business schools as a source of this tendency within the disciplines of economics and business. </w:t>
      </w:r>
      <w:r w:rsidR="006757B4">
        <w:rPr>
          <w:rFonts w:ascii="Times New Roman" w:hAnsi="Times New Roman" w:cs="Times New Roman"/>
        </w:rPr>
        <w:t>Both Kwak (2014) and Zingales (2014) cite membership on a corporate board as a possible source of allegiance between industry and either regulators or academics, and a source of possible capture, which helps motivate applying the network analysis framework to study the linkages between firms, governments, and academia.</w:t>
      </w:r>
      <w:r w:rsidR="00853E40">
        <w:rPr>
          <w:rFonts w:ascii="Times New Roman" w:hAnsi="Times New Roman" w:cs="Times New Roman"/>
        </w:rPr>
        <w:t xml:space="preserve"> There has also been evidence of increasing </w:t>
      </w:r>
      <w:r w:rsidR="00936507">
        <w:rPr>
          <w:rFonts w:ascii="Times New Roman" w:hAnsi="Times New Roman" w:cs="Times New Roman"/>
        </w:rPr>
        <w:t>interlocks</w:t>
      </w:r>
      <w:r w:rsidR="00853E40">
        <w:rPr>
          <w:rFonts w:ascii="Times New Roman" w:hAnsi="Times New Roman" w:cs="Times New Roman"/>
        </w:rPr>
        <w:t xml:space="preserve"> between university trustee and corporate board interlocks from the 1990s through the early 2000s. (Pusser, Slaughter, and Thomas, 2006)</w:t>
      </w:r>
      <w:r w:rsidR="00857524">
        <w:rPr>
          <w:rFonts w:ascii="Times New Roman" w:hAnsi="Times New Roman" w:cs="Times New Roman"/>
        </w:rPr>
        <w:t xml:space="preserve"> Further, Carrick-Hagenbarth and Epstein have written about the conflicts of interest characterizing the work of finance economists that have received payments from the private sector and routinely published work supporting financial deregulation for academic audiences as well as in op-eds and other news media for a wider audience. (2012)</w:t>
      </w:r>
    </w:p>
    <w:p w14:paraId="1F7A2FFA" w14:textId="28F71293" w:rsidR="00216491" w:rsidRDefault="00A175CD" w:rsidP="008A160A">
      <w:pPr>
        <w:spacing w:line="480" w:lineRule="auto"/>
        <w:ind w:firstLine="720"/>
        <w:rPr>
          <w:rFonts w:ascii="Times New Roman" w:hAnsi="Times New Roman" w:cs="Times New Roman"/>
        </w:rPr>
      </w:pPr>
      <w:r>
        <w:rPr>
          <w:rFonts w:ascii="Times New Roman" w:hAnsi="Times New Roman" w:cs="Times New Roman"/>
        </w:rPr>
        <w:t>Given the negative implications of cap</w:t>
      </w:r>
      <w:r w:rsidR="008A160A">
        <w:rPr>
          <w:rFonts w:ascii="Times New Roman" w:hAnsi="Times New Roman" w:cs="Times New Roman"/>
        </w:rPr>
        <w:t xml:space="preserve">ture, whether in the strictest sense Stigler predicted, or the more nebulous cultural capture predicted by Kwak, as well as the effect of </w:t>
      </w:r>
      <w:r w:rsidR="008A160A">
        <w:rPr>
          <w:rFonts w:ascii="Times New Roman" w:hAnsi="Times New Roman" w:cs="Times New Roman"/>
        </w:rPr>
        <w:lastRenderedPageBreak/>
        <w:t xml:space="preserve">board interlocks on economic and political outcomes, there is reason to consider the potential linkages between private firms and public institutions through network analysis. Pusser, Slaughter, and Thomas’s 2006 study uses network analysis to identify trends linking post-secondary school’s boards of trustees with corporate </w:t>
      </w:r>
      <w:r w:rsidR="0077294B">
        <w:rPr>
          <w:rFonts w:ascii="Times New Roman" w:hAnsi="Times New Roman" w:cs="Times New Roman"/>
        </w:rPr>
        <w:t>boards of directors. Faccio, Masulis, and McConnell</w:t>
      </w:r>
      <w:r w:rsidR="008A160A">
        <w:rPr>
          <w:rFonts w:ascii="Times New Roman" w:hAnsi="Times New Roman" w:cs="Times New Roman"/>
        </w:rPr>
        <w:t xml:space="preserve"> (2006</w:t>
      </w:r>
      <w:r w:rsidR="0077294B">
        <w:rPr>
          <w:rFonts w:ascii="Times New Roman" w:hAnsi="Times New Roman" w:cs="Times New Roman"/>
        </w:rPr>
        <w:t>) show that between 1997 and 2002, politica</w:t>
      </w:r>
      <w:r w:rsidR="00A052B7">
        <w:rPr>
          <w:rFonts w:ascii="Times New Roman" w:hAnsi="Times New Roman" w:cs="Times New Roman"/>
        </w:rPr>
        <w:t>lly connected firms</w:t>
      </w:r>
      <w:r w:rsidR="00A052B7">
        <w:rPr>
          <w:rStyle w:val="FootnoteReference"/>
          <w:rFonts w:ascii="Times New Roman" w:hAnsi="Times New Roman" w:cs="Times New Roman"/>
        </w:rPr>
        <w:footnoteReference w:id="1"/>
      </w:r>
      <w:r w:rsidR="00A052B7">
        <w:rPr>
          <w:rFonts w:ascii="Times New Roman" w:hAnsi="Times New Roman" w:cs="Times New Roman"/>
        </w:rPr>
        <w:t xml:space="preserve"> </w:t>
      </w:r>
      <w:r w:rsidR="004A362A">
        <w:rPr>
          <w:rFonts w:ascii="Times New Roman" w:hAnsi="Times New Roman" w:cs="Times New Roman"/>
        </w:rPr>
        <w:t xml:space="preserve">were more likely to receive public bailouts when in distress, and were also likely to have “significantly higher leverage after their bailouts compared to nonconnected firms.” (Faccio, Marsulis, and McConnell, 2599) </w:t>
      </w:r>
      <w:r w:rsidR="00A675A8">
        <w:rPr>
          <w:rFonts w:ascii="Times New Roman" w:hAnsi="Times New Roman" w:cs="Times New Roman"/>
        </w:rPr>
        <w:t>Faccio’s 2006 and 2010 work on politically connected firms shows higher leverage</w:t>
      </w:r>
      <w:r w:rsidR="003913BF">
        <w:rPr>
          <w:rFonts w:ascii="Times New Roman" w:hAnsi="Times New Roman" w:cs="Times New Roman"/>
        </w:rPr>
        <w:t xml:space="preserve"> and stock prices, but lower returns on assets and market-to-book ratios than non-connected firms. She also shows that the type of connections can amplify those effects – connections to high-ranking public officials in particular – and that the relative development of a country can mitigate those effects. (Faccio, 2010) </w:t>
      </w:r>
      <w:r w:rsidR="00F96F0D">
        <w:rPr>
          <w:rFonts w:ascii="Times New Roman" w:hAnsi="Times New Roman" w:cs="Times New Roman"/>
        </w:rPr>
        <w:t xml:space="preserve">Goldman, Rocholl, and So’s analysis of US corporate board members’ political connections showed that </w:t>
      </w:r>
      <w:r w:rsidR="00EB5F72">
        <w:rPr>
          <w:rFonts w:ascii="Times New Roman" w:hAnsi="Times New Roman" w:cs="Times New Roman"/>
        </w:rPr>
        <w:t xml:space="preserve">firms’ </w:t>
      </w:r>
      <w:r w:rsidR="00F96F0D">
        <w:rPr>
          <w:rFonts w:ascii="Times New Roman" w:hAnsi="Times New Roman" w:cs="Times New Roman"/>
        </w:rPr>
        <w:t>political connections</w:t>
      </w:r>
      <w:r w:rsidR="00EB5F72">
        <w:rPr>
          <w:rFonts w:ascii="Times New Roman" w:hAnsi="Times New Roman" w:cs="Times New Roman"/>
        </w:rPr>
        <w:t xml:space="preserve"> to parties that won or lost elections either increased or decreased their share of government contracts, following elections in 1994 and 2000. (2010)</w:t>
      </w:r>
      <w:r w:rsidR="00F96F0D">
        <w:rPr>
          <w:rFonts w:ascii="Times New Roman" w:hAnsi="Times New Roman" w:cs="Times New Roman"/>
        </w:rPr>
        <w:t xml:space="preserve"> </w:t>
      </w:r>
      <w:r w:rsidR="00E161D1">
        <w:rPr>
          <w:rFonts w:ascii="Times New Roman" w:hAnsi="Times New Roman" w:cs="Times New Roman"/>
        </w:rPr>
        <w:t xml:space="preserve">Khwaja and Mian (2005) showed preferential financial treatment of politically connected firms in </w:t>
      </w:r>
      <w:r w:rsidR="00D061FD">
        <w:rPr>
          <w:rFonts w:ascii="Times New Roman" w:hAnsi="Times New Roman" w:cs="Times New Roman"/>
        </w:rPr>
        <w:t xml:space="preserve">Pakistan: politically connected firms received more loans, at lower interest rates, and defaulted more frequently between 1996 and 2002. </w:t>
      </w:r>
      <w:r w:rsidR="00AF4039">
        <w:rPr>
          <w:rFonts w:ascii="Times New Roman" w:hAnsi="Times New Roman" w:cs="Times New Roman"/>
        </w:rPr>
        <w:t xml:space="preserve">Bertrand et al (2007) analyzed the behavior of French firms with politically connected CEOs, and found that “politically connected firms in France … hire more workers, set up more plants, and avoid plant closures prior to election years,” and that incumbents </w:t>
      </w:r>
      <w:r w:rsidR="00BB04DC">
        <w:rPr>
          <w:rFonts w:ascii="Times New Roman" w:hAnsi="Times New Roman" w:cs="Times New Roman"/>
        </w:rPr>
        <w:t xml:space="preserve">“who have more </w:t>
      </w:r>
      <w:r w:rsidR="00BB04DC">
        <w:rPr>
          <w:rFonts w:ascii="Times New Roman" w:hAnsi="Times New Roman" w:cs="Times New Roman"/>
        </w:rPr>
        <w:lastRenderedPageBreak/>
        <w:t>political clout within their party are more likely to receive business favors in th</w:t>
      </w:r>
      <w:r w:rsidR="00B73769">
        <w:rPr>
          <w:rFonts w:ascii="Times New Roman" w:hAnsi="Times New Roman" w:cs="Times New Roman"/>
        </w:rPr>
        <w:t>e form of employment generation,</w:t>
      </w:r>
      <w:r w:rsidR="00BB04DC">
        <w:rPr>
          <w:rFonts w:ascii="Times New Roman" w:hAnsi="Times New Roman" w:cs="Times New Roman"/>
        </w:rPr>
        <w:t>”</w:t>
      </w:r>
      <w:r w:rsidR="00B73769">
        <w:rPr>
          <w:rFonts w:ascii="Times New Roman" w:hAnsi="Times New Roman" w:cs="Times New Roman"/>
        </w:rPr>
        <w:t xml:space="preserve"> from the 1990s through the early 2000s.</w:t>
      </w:r>
      <w:r w:rsidR="00BB04DC">
        <w:rPr>
          <w:rFonts w:ascii="Times New Roman" w:hAnsi="Times New Roman" w:cs="Times New Roman"/>
        </w:rPr>
        <w:t xml:space="preserve"> (Bertrand et al, 2007, 2)</w:t>
      </w:r>
      <w:r w:rsidR="00B73769">
        <w:rPr>
          <w:rFonts w:ascii="Times New Roman" w:hAnsi="Times New Roman" w:cs="Times New Roman"/>
        </w:rPr>
        <w:t xml:space="preserve"> </w:t>
      </w:r>
      <w:r w:rsidR="00012241">
        <w:rPr>
          <w:rFonts w:ascii="Times New Roman" w:hAnsi="Times New Roman" w:cs="Times New Roman"/>
        </w:rPr>
        <w:t>Niessen and Ruenzi found that in Germany, MPs from parties that were more pro-business were more likely to have worked in the private sector than left-leaning parties, and that politically connected firms in Germany in 2006 and 2007 were typically larger, with lower leverage and Tobin’s Q</w:t>
      </w:r>
      <w:r w:rsidR="00012241">
        <w:rPr>
          <w:rStyle w:val="FootnoteReference"/>
          <w:rFonts w:ascii="Times New Roman" w:hAnsi="Times New Roman" w:cs="Times New Roman"/>
        </w:rPr>
        <w:footnoteReference w:id="2"/>
      </w:r>
      <w:r w:rsidR="00012241">
        <w:rPr>
          <w:rFonts w:ascii="Times New Roman" w:hAnsi="Times New Roman" w:cs="Times New Roman"/>
        </w:rPr>
        <w:t xml:space="preserve"> than unconnected firms, and had higher returns on investment and equity than unconnected firms. (2007) </w:t>
      </w:r>
      <w:r w:rsidR="00E147C0">
        <w:rPr>
          <w:rFonts w:ascii="Times New Roman" w:hAnsi="Times New Roman" w:cs="Times New Roman"/>
        </w:rPr>
        <w:t xml:space="preserve">The most recent of these analyses of corporate connections at the CEO or board level, however, is the </w:t>
      </w:r>
      <w:r w:rsidR="00012241">
        <w:rPr>
          <w:rFonts w:ascii="Times New Roman" w:hAnsi="Times New Roman" w:cs="Times New Roman"/>
        </w:rPr>
        <w:t>mid</w:t>
      </w:r>
      <w:r w:rsidR="00E147C0">
        <w:rPr>
          <w:rFonts w:ascii="Times New Roman" w:hAnsi="Times New Roman" w:cs="Times New Roman"/>
        </w:rPr>
        <w:t xml:space="preserve"> 2000s, indicating the benefit of revisiting this topic, particularly for Europe.</w:t>
      </w:r>
    </w:p>
    <w:p w14:paraId="280C7C22" w14:textId="12DF9746" w:rsidR="00857524" w:rsidRDefault="00104C59" w:rsidP="008A160A">
      <w:pPr>
        <w:spacing w:line="480" w:lineRule="auto"/>
        <w:ind w:firstLine="720"/>
        <w:rPr>
          <w:rFonts w:ascii="Times New Roman" w:hAnsi="Times New Roman" w:cs="Times New Roman"/>
        </w:rPr>
      </w:pPr>
      <w:r>
        <w:rPr>
          <w:rFonts w:ascii="Times New Roman" w:hAnsi="Times New Roman" w:cs="Times New Roman"/>
        </w:rPr>
        <w:t>A robust political economy literature identifying global corporate interlocks exists – many of these studies focus on national level dynamics, as well as some broader analyses that tend to use big data to map thousands of corporate connections around the globe. Van Veen and Marsman find that despite decreasing barriers to intra-Europe corporate activity, only 15% of multi-national corporations based in Europe had board members of nationalities outside of the home country of the firm. (2008) Buch-Hansen determines that despite increasing interlocks between European firms’ boards, there has been little increase in explicit collusion, though there is evidence of increasing linkages between large European firms and the European Roundtable of Industrialists</w:t>
      </w:r>
      <w:r w:rsidR="008B0769">
        <w:rPr>
          <w:rFonts w:ascii="Times New Roman" w:hAnsi="Times New Roman" w:cs="Times New Roman"/>
        </w:rPr>
        <w:t xml:space="preserve"> (ERT)</w:t>
      </w:r>
      <w:r>
        <w:rPr>
          <w:rFonts w:ascii="Times New Roman" w:hAnsi="Times New Roman" w:cs="Times New Roman"/>
        </w:rPr>
        <w:t xml:space="preserve">, a lobbying group that </w:t>
      </w:r>
      <w:r>
        <w:rPr>
          <w:rFonts w:ascii="Times New Roman" w:hAnsi="Times New Roman" w:cs="Times New Roman"/>
          <w:i/>
        </w:rPr>
        <w:t xml:space="preserve">was </w:t>
      </w:r>
      <w:r>
        <w:rPr>
          <w:rFonts w:ascii="Times New Roman" w:hAnsi="Times New Roman" w:cs="Times New Roman"/>
        </w:rPr>
        <w:t xml:space="preserve">linked to cartel behavior between 1990 and 2010. (Buch Hansen, 2014) </w:t>
      </w:r>
      <w:r w:rsidR="00CC00F9">
        <w:rPr>
          <w:rFonts w:ascii="Times New Roman" w:hAnsi="Times New Roman" w:cs="Times New Roman"/>
        </w:rPr>
        <w:t>Heemskerk</w:t>
      </w:r>
      <w:r w:rsidR="008B0769">
        <w:rPr>
          <w:rFonts w:ascii="Times New Roman" w:hAnsi="Times New Roman" w:cs="Times New Roman"/>
        </w:rPr>
        <w:t xml:space="preserve">’s analysis of European corporate interlocks in 2005 and 2010 concluded that there was a trend of increasing corporate interlocks between European firms, that there were still barriers along language lines and tendencies to form transnational links with neighboring countries, and that linkages were more likely to form between industrial firms and </w:t>
      </w:r>
      <w:r w:rsidR="008B0769">
        <w:rPr>
          <w:rFonts w:ascii="Times New Roman" w:hAnsi="Times New Roman" w:cs="Times New Roman"/>
        </w:rPr>
        <w:lastRenderedPageBreak/>
        <w:t xml:space="preserve">other industrial firms, as opposed to financial firms ( speculating that this had something to do with the importance of the ERT in forging ties between industrial producers). (2013) </w:t>
      </w:r>
      <w:r w:rsidR="00CE30CC">
        <w:rPr>
          <w:rFonts w:ascii="Times New Roman" w:hAnsi="Times New Roman" w:cs="Times New Roman"/>
        </w:rPr>
        <w:t xml:space="preserve">The most current, at time </w:t>
      </w:r>
      <w:r w:rsidR="00163815">
        <w:rPr>
          <w:rFonts w:ascii="Times New Roman" w:hAnsi="Times New Roman" w:cs="Times New Roman"/>
        </w:rPr>
        <w:t>of writing, analyse</w:t>
      </w:r>
      <w:r w:rsidR="00CE30CC">
        <w:rPr>
          <w:rFonts w:ascii="Times New Roman" w:hAnsi="Times New Roman" w:cs="Times New Roman"/>
        </w:rPr>
        <w:t xml:space="preserve">s of local and transnational elites in this vein identifies </w:t>
      </w:r>
      <w:r w:rsidR="00163815">
        <w:rPr>
          <w:rFonts w:ascii="Times New Roman" w:hAnsi="Times New Roman" w:cs="Times New Roman"/>
        </w:rPr>
        <w:t>several communities of interlocks in line with geographic and language trends identified by Heemskerk (2013)</w:t>
      </w:r>
      <w:r w:rsidR="00AB5821">
        <w:rPr>
          <w:rFonts w:ascii="Times New Roman" w:hAnsi="Times New Roman" w:cs="Times New Roman"/>
        </w:rPr>
        <w:t>.</w:t>
      </w:r>
      <w:r w:rsidR="00163815">
        <w:rPr>
          <w:rFonts w:ascii="Times New Roman" w:hAnsi="Times New Roman" w:cs="Times New Roman"/>
        </w:rPr>
        <w:t xml:space="preserve"> </w:t>
      </w:r>
      <w:r w:rsidR="003C135E">
        <w:rPr>
          <w:rFonts w:ascii="Times New Roman" w:hAnsi="Times New Roman" w:cs="Times New Roman"/>
        </w:rPr>
        <w:t>Heemskerk and Takes</w:t>
      </w:r>
      <w:r w:rsidR="001C4D0A">
        <w:rPr>
          <w:rFonts w:ascii="Times New Roman" w:hAnsi="Times New Roman" w:cs="Times New Roman"/>
        </w:rPr>
        <w:t xml:space="preserve"> use </w:t>
      </w:r>
      <w:r w:rsidR="00AB5821">
        <w:rPr>
          <w:rFonts w:ascii="Times New Roman" w:hAnsi="Times New Roman" w:cs="Times New Roman"/>
        </w:rPr>
        <w:t xml:space="preserve">2013 </w:t>
      </w:r>
      <w:r w:rsidR="001C4D0A">
        <w:rPr>
          <w:rFonts w:ascii="Times New Roman" w:hAnsi="Times New Roman" w:cs="Times New Roman"/>
        </w:rPr>
        <w:t xml:space="preserve">board level data </w:t>
      </w:r>
      <w:r w:rsidR="00AB5821">
        <w:rPr>
          <w:rFonts w:ascii="Times New Roman" w:hAnsi="Times New Roman" w:cs="Times New Roman"/>
        </w:rPr>
        <w:t xml:space="preserve">of the largest one-million global firms to identify business communities with greater densities of interlocks – they identify strong linkages in Asia distinct from networks connecting North American firms with European ones, and within that category, sub-communities of (1) North America, the UK, and the Netherlands, (2) Germany and France, (3) Mediterranean countries, and (4) Nordic and Baltic countries, as well as less robust networks of linkages in Latin America and Africa. (Heemskerk and Takes, 2016) </w:t>
      </w:r>
      <w:r w:rsidR="00C5420B">
        <w:rPr>
          <w:rFonts w:ascii="Times New Roman" w:hAnsi="Times New Roman" w:cs="Times New Roman"/>
        </w:rPr>
        <w:t>Finally, Heemskerk, Fennema, and Carroll (2016) find that from 1996 to 2013, 176 global firms maintain a growing trend of transnational ties, that does not appear to have diminished since the global financial crisis of 2008</w:t>
      </w:r>
      <w:r w:rsidR="00E953CC">
        <w:rPr>
          <w:rFonts w:ascii="Times New Roman" w:hAnsi="Times New Roman" w:cs="Times New Roman"/>
        </w:rPr>
        <w:t>, though the nature of linkages has changed from a smaller number of individuals with many links to other corporate boards, to a system with many individuals having one or more links to other boards</w:t>
      </w:r>
      <w:r w:rsidR="00C5420B">
        <w:rPr>
          <w:rFonts w:ascii="Times New Roman" w:hAnsi="Times New Roman" w:cs="Times New Roman"/>
        </w:rPr>
        <w:t>.</w:t>
      </w:r>
      <w:r w:rsidR="007C5A7C">
        <w:rPr>
          <w:rFonts w:ascii="Times New Roman" w:hAnsi="Times New Roman" w:cs="Times New Roman"/>
        </w:rPr>
        <w:t xml:space="preserve"> That said, the authors identify decreasing links between European Community firms and other European Community firms, US firms, and other European firms.</w:t>
      </w:r>
      <w:r w:rsidR="00C5420B">
        <w:rPr>
          <w:rFonts w:ascii="Times New Roman" w:hAnsi="Times New Roman" w:cs="Times New Roman"/>
        </w:rPr>
        <w:t xml:space="preserve"> </w:t>
      </w:r>
    </w:p>
    <w:p w14:paraId="63D9414A" w14:textId="6BD0E70C" w:rsidR="00C5420B" w:rsidRPr="00A052B7" w:rsidRDefault="00C5420B" w:rsidP="008A160A">
      <w:pPr>
        <w:spacing w:line="480" w:lineRule="auto"/>
        <w:ind w:firstLine="720"/>
        <w:rPr>
          <w:rFonts w:ascii="Times New Roman" w:hAnsi="Times New Roman" w:cs="Times New Roman"/>
        </w:rPr>
      </w:pPr>
      <w:r>
        <w:rPr>
          <w:rFonts w:ascii="Times New Roman" w:hAnsi="Times New Roman" w:cs="Times New Roman"/>
        </w:rPr>
        <w:t xml:space="preserve">This paper should augment existing analyses of regional interlock dynamics by examining more recent data on corporate interlocks within the European Union. </w:t>
      </w:r>
      <w:r w:rsidR="001D0A8B">
        <w:rPr>
          <w:rFonts w:ascii="Times New Roman" w:hAnsi="Times New Roman" w:cs="Times New Roman"/>
        </w:rPr>
        <w:t xml:space="preserve">It should also supplement analyses of firm-firm interlocks with a more robust picture of the connections firms form with government actors and quasi-governmental institutions like central banks, as well as ties to cultural institutions like academia and the news media. Doing so should illuminate the existence or absence of revolving doors between the private and public sectors in the European </w:t>
      </w:r>
      <w:r w:rsidR="001D0A8B">
        <w:rPr>
          <w:rFonts w:ascii="Times New Roman" w:hAnsi="Times New Roman" w:cs="Times New Roman"/>
        </w:rPr>
        <w:lastRenderedPageBreak/>
        <w:t xml:space="preserve">Union. This should give a springboard for empirical analyses of the Eurozone’s corporate interlocks and other linkages.  </w:t>
      </w:r>
    </w:p>
    <w:p w14:paraId="11DF1254" w14:textId="34FD16A6" w:rsidR="00F92B60" w:rsidRDefault="00B30451" w:rsidP="00B30451">
      <w:pPr>
        <w:rPr>
          <w:rFonts w:ascii="Times New Roman" w:hAnsi="Times New Roman" w:cs="Times New Roman"/>
          <w:b/>
        </w:rPr>
      </w:pPr>
      <w:r w:rsidRPr="00B30451">
        <w:rPr>
          <w:rFonts w:ascii="Times New Roman" w:hAnsi="Times New Roman" w:cs="Times New Roman"/>
          <w:b/>
        </w:rPr>
        <w:t xml:space="preserve">III. </w:t>
      </w:r>
      <w:r w:rsidR="00F92B60" w:rsidRPr="00B30451">
        <w:rPr>
          <w:rFonts w:ascii="Times New Roman" w:hAnsi="Times New Roman" w:cs="Times New Roman"/>
          <w:b/>
        </w:rPr>
        <w:t>Model</w:t>
      </w:r>
    </w:p>
    <w:p w14:paraId="2484C95C" w14:textId="77777777" w:rsidR="00B30451" w:rsidRDefault="00B30451" w:rsidP="00B30451">
      <w:pPr>
        <w:rPr>
          <w:rFonts w:ascii="Times New Roman" w:hAnsi="Times New Roman" w:cs="Times New Roman"/>
          <w:b/>
        </w:rPr>
      </w:pPr>
    </w:p>
    <w:p w14:paraId="7AF10363" w14:textId="77777777" w:rsidR="000D3244" w:rsidRDefault="00B30451" w:rsidP="000D3244">
      <w:pPr>
        <w:spacing w:line="480" w:lineRule="auto"/>
        <w:rPr>
          <w:rFonts w:ascii="Times New Roman" w:hAnsi="Times New Roman" w:cs="Times New Roman"/>
        </w:rPr>
      </w:pPr>
      <w:r>
        <w:rPr>
          <w:rFonts w:ascii="Times New Roman" w:hAnsi="Times New Roman" w:cs="Times New Roman"/>
        </w:rPr>
        <w:tab/>
        <w:t xml:space="preserve">This paper uses a network model to analyze the </w:t>
      </w:r>
      <w:r w:rsidR="000D3244">
        <w:rPr>
          <w:rFonts w:ascii="Times New Roman" w:hAnsi="Times New Roman" w:cs="Times New Roman"/>
        </w:rPr>
        <w:t xml:space="preserve">extent of corporate links between 50 of the largest European firms to each other, as well as to governments at the national level and the supranational level in the case of Europe, quasi-governmental institutions including central banks, non-governmental entities like the World Bank and IMF, </w:t>
      </w:r>
      <w:r w:rsidR="000D3244">
        <w:rPr>
          <w:rFonts w:ascii="Times New Roman" w:hAnsi="Times New Roman" w:cs="Times New Roman"/>
        </w:rPr>
        <w:t>major lobbying associations like the European Roun</w:t>
      </w:r>
      <w:r w:rsidR="000D3244">
        <w:rPr>
          <w:rFonts w:ascii="Times New Roman" w:hAnsi="Times New Roman" w:cs="Times New Roman"/>
        </w:rPr>
        <w:t>dtable of Industrialists (ERT), as well as connections to universities and think tanks, whether as faculty and researches or as trustees, board members, or advisors</w:t>
      </w:r>
      <w:r w:rsidR="000D3244">
        <w:rPr>
          <w:rFonts w:ascii="Times New Roman" w:hAnsi="Times New Roman" w:cs="Times New Roman"/>
        </w:rPr>
        <w:t>.</w:t>
      </w:r>
      <w:r w:rsidR="000D3244">
        <w:rPr>
          <w:rFonts w:ascii="Times New Roman" w:hAnsi="Times New Roman" w:cs="Times New Roman"/>
        </w:rPr>
        <w:t xml:space="preserve"> </w:t>
      </w:r>
    </w:p>
    <w:p w14:paraId="18C4C7D3" w14:textId="77777777" w:rsidR="000D3244" w:rsidRDefault="000D3244" w:rsidP="000D3244">
      <w:pPr>
        <w:spacing w:line="480" w:lineRule="auto"/>
        <w:ind w:firstLine="720"/>
        <w:rPr>
          <w:rFonts w:ascii="Times New Roman" w:hAnsi="Times New Roman" w:cs="Times New Roman"/>
        </w:rPr>
      </w:pPr>
      <w:r>
        <w:rPr>
          <w:rFonts w:ascii="Times New Roman" w:hAnsi="Times New Roman" w:cs="Times New Roman"/>
        </w:rPr>
        <w:t xml:space="preserve">Firm selection comes from the </w:t>
      </w:r>
      <w:r w:rsidR="00A074A1" w:rsidRPr="000D3244">
        <w:rPr>
          <w:rFonts w:ascii="Times New Roman" w:hAnsi="Times New Roman" w:cs="Times New Roman"/>
        </w:rPr>
        <w:t xml:space="preserve">Fortune </w:t>
      </w:r>
      <w:r w:rsidR="00920543" w:rsidRPr="000D3244">
        <w:rPr>
          <w:rFonts w:ascii="Times New Roman" w:hAnsi="Times New Roman" w:cs="Times New Roman"/>
        </w:rPr>
        <w:t xml:space="preserve">Global </w:t>
      </w:r>
      <w:r>
        <w:rPr>
          <w:rFonts w:ascii="Times New Roman" w:hAnsi="Times New Roman" w:cs="Times New Roman"/>
        </w:rPr>
        <w:t xml:space="preserve">500, and the sample includes the </w:t>
      </w:r>
      <w:r w:rsidR="00A074A1" w:rsidRPr="000D3244">
        <w:rPr>
          <w:rFonts w:ascii="Times New Roman" w:hAnsi="Times New Roman" w:cs="Times New Roman"/>
        </w:rPr>
        <w:t>largest 50 firms in the European Union</w:t>
      </w:r>
      <w:r w:rsidR="00920543" w:rsidRPr="000D3244">
        <w:rPr>
          <w:rFonts w:ascii="Times New Roman" w:hAnsi="Times New Roman" w:cs="Times New Roman"/>
        </w:rPr>
        <w:t xml:space="preserve"> measured by revenue, which includes revenue earned by ‘consolidated subsidiaries and reported revenue from discontinued operations, but [excludes] excise taxes.” (FortuneGlobal500</w:t>
      </w:r>
      <w:r w:rsidR="00DC11C4" w:rsidRPr="000D3244">
        <w:rPr>
          <w:rFonts w:ascii="Times New Roman" w:hAnsi="Times New Roman" w:cs="Times New Roman"/>
        </w:rPr>
        <w:t>, 2019)</w:t>
      </w:r>
      <w:r>
        <w:rPr>
          <w:rFonts w:ascii="Times New Roman" w:hAnsi="Times New Roman" w:cs="Times New Roman"/>
        </w:rPr>
        <w:t xml:space="preserve"> This paper examines 50 firms in order to provide a more granular portrait of the evolution of European corporate ties to other large European firms, as well as board members’ connections to non-firm actors listed above, as well as to provide a more expansive historical portrait of these changes, in contrast with large-scale analyses focusing on one or two moments in time, or smaller scale historic analyses tracking one country’s evolving corporate landscape. I use the Fortune Global 500 for my analysis because I think it is important to see how large firms with an important presence in Europe operate; given the open economic character of Europe’s Economic and Monetary Union (EMU), establishing this corporate sector’s potential power as a unit as well as its reach in politics at the national and European level may elaborate on economic and political dynamics within the Eurozone. In contrast with previous studies, I pay less attention to explicit cross-border linkages, since I </w:t>
      </w:r>
      <w:r w:rsidR="00FD2457" w:rsidRPr="000D3244">
        <w:rPr>
          <w:rFonts w:ascii="Times New Roman" w:hAnsi="Times New Roman" w:cs="Times New Roman"/>
        </w:rPr>
        <w:lastRenderedPageBreak/>
        <w:t>assume that large</w:t>
      </w:r>
      <w:r>
        <w:rPr>
          <w:rFonts w:ascii="Times New Roman" w:hAnsi="Times New Roman" w:cs="Times New Roman"/>
        </w:rPr>
        <w:t xml:space="preserve"> corporate</w:t>
      </w:r>
      <w:r w:rsidR="00FD2457" w:rsidRPr="000D3244">
        <w:rPr>
          <w:rFonts w:ascii="Times New Roman" w:hAnsi="Times New Roman" w:cs="Times New Roman"/>
        </w:rPr>
        <w:t xml:space="preserve"> players will influence domestic governments and European level governance, both directly and indirectly</w:t>
      </w:r>
      <w:r>
        <w:rPr>
          <w:rFonts w:ascii="Times New Roman" w:hAnsi="Times New Roman" w:cs="Times New Roman"/>
        </w:rPr>
        <w:t>.</w:t>
      </w:r>
    </w:p>
    <w:p w14:paraId="790DE725" w14:textId="4F470A92" w:rsidR="00FD2457" w:rsidRDefault="000D3244" w:rsidP="000D3244">
      <w:pPr>
        <w:spacing w:line="480" w:lineRule="auto"/>
        <w:ind w:firstLine="720"/>
        <w:rPr>
          <w:rFonts w:ascii="Times New Roman" w:hAnsi="Times New Roman" w:cs="Times New Roman"/>
        </w:rPr>
      </w:pPr>
      <w:r w:rsidRPr="000D3244">
        <w:rPr>
          <w:rFonts w:ascii="Times New Roman" w:hAnsi="Times New Roman" w:cs="Times New Roman"/>
        </w:rPr>
        <w:t xml:space="preserve">To generate my model, </w:t>
      </w:r>
      <w:r w:rsidR="00FD2457" w:rsidRPr="000D3244">
        <w:rPr>
          <w:rFonts w:ascii="Times New Roman" w:hAnsi="Times New Roman" w:cs="Times New Roman"/>
        </w:rPr>
        <w:t>I cross reference the firms’ annual reports to assess members of each individual firm’s corporate b</w:t>
      </w:r>
      <w:r w:rsidR="00A074A1" w:rsidRPr="000D3244">
        <w:rPr>
          <w:rFonts w:ascii="Times New Roman" w:hAnsi="Times New Roman" w:cs="Times New Roman"/>
        </w:rPr>
        <w:t>oard</w:t>
      </w:r>
      <w:r w:rsidR="00FD2457" w:rsidRPr="000D3244">
        <w:rPr>
          <w:rFonts w:ascii="Times New Roman" w:hAnsi="Times New Roman" w:cs="Times New Roman"/>
        </w:rPr>
        <w:t xml:space="preserve"> as well as internet searches. There is great variance in the information included in these statements; while they will generally provide a list of the different members of boards of directors or supervisory board members, some reports will present detailed biographical information about the relevant individuals, while others will list only current board positions, while other reports will not list any information beyond the board members’ names. To get as accurate a picture of the connections between firms, and between firms and non-firm institutions, I search for more biographical detail on the different members listed</w:t>
      </w:r>
      <w:r>
        <w:rPr>
          <w:rFonts w:ascii="Times New Roman" w:hAnsi="Times New Roman" w:cs="Times New Roman"/>
        </w:rPr>
        <w:t>, and rely on a combination of Bloomberg, Market Screener, Equilar, and Wikipedia compilations of resources on individuals’ work histories and board memberships in forming this model.</w:t>
      </w:r>
    </w:p>
    <w:p w14:paraId="63D9DABD" w14:textId="7CF9EED5" w:rsidR="000D3244" w:rsidRDefault="003E3B75" w:rsidP="003E3B75">
      <w:pPr>
        <w:spacing w:line="480" w:lineRule="auto"/>
        <w:ind w:firstLine="720"/>
        <w:rPr>
          <w:rFonts w:ascii="Times New Roman" w:hAnsi="Times New Roman" w:cs="Times New Roman"/>
        </w:rPr>
      </w:pPr>
      <w:r>
        <w:rPr>
          <w:rFonts w:ascii="Times New Roman" w:hAnsi="Times New Roman" w:cs="Times New Roman"/>
        </w:rPr>
        <w:t xml:space="preserve">A network model is composed of nodes, the units being analyzed, and edges, the linkages between them. In this model, Nodes include the </w:t>
      </w:r>
      <w:r w:rsidR="000D3244" w:rsidRPr="003E3B75">
        <w:rPr>
          <w:rFonts w:ascii="Times New Roman" w:hAnsi="Times New Roman" w:cs="Times New Roman"/>
        </w:rPr>
        <w:t xml:space="preserve">largest firms, government and quasi government bodies, non-government bodies including central banks, </w:t>
      </w:r>
      <w:r>
        <w:rPr>
          <w:rFonts w:ascii="Times New Roman" w:hAnsi="Times New Roman" w:cs="Times New Roman"/>
        </w:rPr>
        <w:t xml:space="preserve">and </w:t>
      </w:r>
      <w:r w:rsidR="000D3244" w:rsidRPr="003E3B75">
        <w:rPr>
          <w:rFonts w:ascii="Times New Roman" w:hAnsi="Times New Roman" w:cs="Times New Roman"/>
        </w:rPr>
        <w:t>aca</w:t>
      </w:r>
      <w:r>
        <w:rPr>
          <w:rFonts w:ascii="Times New Roman" w:hAnsi="Times New Roman" w:cs="Times New Roman"/>
        </w:rPr>
        <w:t>demic and research institutions</w:t>
      </w:r>
      <w:r w:rsidR="000D3244" w:rsidRPr="003E3B75">
        <w:rPr>
          <w:rFonts w:ascii="Times New Roman" w:hAnsi="Times New Roman" w:cs="Times New Roman"/>
        </w:rPr>
        <w:t>.</w:t>
      </w:r>
      <w:r>
        <w:rPr>
          <w:rFonts w:ascii="Times New Roman" w:hAnsi="Times New Roman" w:cs="Times New Roman"/>
        </w:rPr>
        <w:t xml:space="preserve"> Edges are the</w:t>
      </w:r>
      <w:r w:rsidR="000D3244">
        <w:rPr>
          <w:rFonts w:ascii="Times New Roman" w:hAnsi="Times New Roman" w:cs="Times New Roman"/>
        </w:rPr>
        <w:t xml:space="preserve"> linkages between these bodies represented by seats on c</w:t>
      </w:r>
      <w:r>
        <w:rPr>
          <w:rFonts w:ascii="Times New Roman" w:hAnsi="Times New Roman" w:cs="Times New Roman"/>
        </w:rPr>
        <w:t xml:space="preserve">orporate boards and employment. </w:t>
      </w:r>
      <w:r w:rsidRPr="003E3B75">
        <w:rPr>
          <w:rFonts w:ascii="Times New Roman" w:hAnsi="Times New Roman" w:cs="Times New Roman"/>
          <w:highlight w:val="cyan"/>
        </w:rPr>
        <w:t xml:space="preserve">This draft shows the </w:t>
      </w:r>
      <w:r w:rsidR="000D3244" w:rsidRPr="003E3B75">
        <w:rPr>
          <w:rFonts w:ascii="Times New Roman" w:hAnsi="Times New Roman" w:cs="Times New Roman"/>
          <w:highlight w:val="cyan"/>
        </w:rPr>
        <w:t>absolute number</w:t>
      </w:r>
      <w:r w:rsidRPr="003E3B75">
        <w:rPr>
          <w:rFonts w:ascii="Times New Roman" w:hAnsi="Times New Roman" w:cs="Times New Roman"/>
          <w:highlight w:val="cyan"/>
        </w:rPr>
        <w:t xml:space="preserve"> of linkages between firms, rather than exploring </w:t>
      </w:r>
      <w:r w:rsidR="000D3244" w:rsidRPr="003E3B75">
        <w:rPr>
          <w:rFonts w:ascii="Times New Roman" w:hAnsi="Times New Roman" w:cs="Times New Roman"/>
          <w:highlight w:val="cyan"/>
        </w:rPr>
        <w:t>share of ties</w:t>
      </w:r>
      <w:r>
        <w:rPr>
          <w:rFonts w:ascii="Times New Roman" w:hAnsi="Times New Roman" w:cs="Times New Roman"/>
          <w:highlight w:val="cyan"/>
        </w:rPr>
        <w:t>. Further work on this paper will explore the shares of top 50 firm linkages to other firms, non-firms, and other firms not included in the Fortune Global 500 top 50 firms in Europe</w:t>
      </w:r>
      <w:r w:rsidR="000D3244" w:rsidRPr="003E3B75">
        <w:rPr>
          <w:rFonts w:ascii="Times New Roman" w:hAnsi="Times New Roman" w:cs="Times New Roman"/>
          <w:highlight w:val="cyan"/>
        </w:rPr>
        <w:t>.</w:t>
      </w:r>
      <w:r w:rsidR="000D3244">
        <w:rPr>
          <w:rFonts w:ascii="Times New Roman" w:hAnsi="Times New Roman" w:cs="Times New Roman"/>
        </w:rPr>
        <w:t xml:space="preserve"> The absolute number of linkages gives a picture of how interconnected these bodies are; the shares of linkages help elaborate upon the trends of linkage, control for disparate size of corporate boards across firms</w:t>
      </w:r>
      <w:r>
        <w:rPr>
          <w:rFonts w:ascii="Times New Roman" w:hAnsi="Times New Roman" w:cs="Times New Roman"/>
        </w:rPr>
        <w:t xml:space="preserve">. </w:t>
      </w:r>
      <w:r w:rsidRPr="003E3B75">
        <w:rPr>
          <w:rFonts w:ascii="Times New Roman" w:hAnsi="Times New Roman" w:cs="Times New Roman"/>
          <w:highlight w:val="cyan"/>
        </w:rPr>
        <w:t xml:space="preserve">For standardization purposes, this analysis includes the same firms – so it examines the evolution of board interlinkages between the 50 largest European firms as of </w:t>
      </w:r>
      <w:r w:rsidRPr="003E3B75">
        <w:rPr>
          <w:rFonts w:ascii="Times New Roman" w:hAnsi="Times New Roman" w:cs="Times New Roman"/>
          <w:highlight w:val="cyan"/>
        </w:rPr>
        <w:lastRenderedPageBreak/>
        <w:t>2000 – in order to have a standardized basis for understanding the data. Subsequent work will account for the changing composition of the 50 largest firms, to establish the potential existence of different trends</w:t>
      </w:r>
      <w:r>
        <w:rPr>
          <w:rFonts w:ascii="Times New Roman" w:hAnsi="Times New Roman" w:cs="Times New Roman"/>
        </w:rPr>
        <w:t>.</w:t>
      </w:r>
      <w:r w:rsidR="001F243A">
        <w:rPr>
          <w:rFonts w:ascii="Times New Roman" w:hAnsi="Times New Roman" w:cs="Times New Roman"/>
        </w:rPr>
        <w:t xml:space="preserve"> My model presents the linkages between these 50 firms and non-firm partners in 2000, 2005, 2010, 2015, and 2017.</w:t>
      </w:r>
    </w:p>
    <w:p w14:paraId="259879E6" w14:textId="7726CEE7" w:rsidR="00D204D3" w:rsidRPr="001F243A" w:rsidRDefault="003E3B75" w:rsidP="001F243A">
      <w:pPr>
        <w:spacing w:line="480" w:lineRule="auto"/>
        <w:ind w:firstLine="720"/>
        <w:rPr>
          <w:rFonts w:ascii="Times New Roman" w:hAnsi="Times New Roman" w:cs="Times New Roman"/>
        </w:rPr>
      </w:pPr>
      <w:r>
        <w:rPr>
          <w:rFonts w:ascii="Times New Roman" w:hAnsi="Times New Roman" w:cs="Times New Roman"/>
        </w:rPr>
        <w:t xml:space="preserve">A few more caveats hold. First, I do not decompose non-firm categories. As such, an adjunct professor at Columbia University’s business school bears the same weight as a trustee of the university, and likewise a tenured faculty member. Similarly, linkages to Harvard count as much as linkages to less globally renowned institutions of higher learning, though Harvard faculty members may arguably wield greater weight in shaping global economic circumstances for business. Future studies should decompose these findings, since they may find interesting outcomes. Likewise, all central banks are lumped together in the models, in order to increase their visibility in the diagram, ditto institutions like the World Bank, IMF, OECD, BIS, and other such non-governmental organizations with global influence. Third, listed numbers may potentially overstate connections, since my entries per board member list total board memberships held over the individual’s life to date. As such, change in connections over time on a firm level will show the influence of the changing composition of the board as a whole, rather than the change in each member’s board memberships over time. This mostly has to do with data availability. While this has the risk of over-representing board interconnections, a </w:t>
      </w:r>
      <w:r w:rsidR="008D501C">
        <w:rPr>
          <w:rFonts w:ascii="Times New Roman" w:hAnsi="Times New Roman" w:cs="Times New Roman"/>
        </w:rPr>
        <w:t>very</w:t>
      </w:r>
      <w:r>
        <w:rPr>
          <w:rFonts w:ascii="Times New Roman" w:hAnsi="Times New Roman" w:cs="Times New Roman"/>
        </w:rPr>
        <w:t xml:space="preserve"> small share of board members included in this study have so many connections that this </w:t>
      </w:r>
      <w:r w:rsidR="008D501C">
        <w:rPr>
          <w:rFonts w:ascii="Times New Roman" w:hAnsi="Times New Roman" w:cs="Times New Roman"/>
        </w:rPr>
        <w:t xml:space="preserve">could be a problem. </w:t>
      </w:r>
    </w:p>
    <w:p w14:paraId="5BD27B7E" w14:textId="2039ECDD" w:rsidR="00F92B60" w:rsidRDefault="00F52368" w:rsidP="00F52368">
      <w:pPr>
        <w:rPr>
          <w:rFonts w:ascii="Times New Roman" w:hAnsi="Times New Roman" w:cs="Times New Roman"/>
          <w:b/>
        </w:rPr>
      </w:pPr>
      <w:r w:rsidRPr="00F52368">
        <w:rPr>
          <w:rFonts w:ascii="Times New Roman" w:hAnsi="Times New Roman" w:cs="Times New Roman"/>
          <w:b/>
        </w:rPr>
        <w:t xml:space="preserve">IV. </w:t>
      </w:r>
      <w:r w:rsidR="00F92B60" w:rsidRPr="00F52368">
        <w:rPr>
          <w:rFonts w:ascii="Times New Roman" w:hAnsi="Times New Roman" w:cs="Times New Roman"/>
          <w:b/>
        </w:rPr>
        <w:t>Findings</w:t>
      </w:r>
    </w:p>
    <w:p w14:paraId="5312BAAD" w14:textId="77777777" w:rsidR="00F52368" w:rsidRDefault="00F52368" w:rsidP="00F52368">
      <w:pPr>
        <w:rPr>
          <w:rFonts w:ascii="Times New Roman" w:hAnsi="Times New Roman" w:cs="Times New Roman"/>
          <w:b/>
        </w:rPr>
      </w:pPr>
    </w:p>
    <w:p w14:paraId="10906906" w14:textId="4CD2ECFA" w:rsidR="00F52368" w:rsidRDefault="00F52368" w:rsidP="00F52368">
      <w:pPr>
        <w:spacing w:line="480" w:lineRule="auto"/>
        <w:rPr>
          <w:rFonts w:ascii="Times New Roman" w:hAnsi="Times New Roman" w:cs="Times New Roman"/>
        </w:rPr>
      </w:pPr>
      <w:r>
        <w:rPr>
          <w:rFonts w:ascii="Times New Roman" w:hAnsi="Times New Roman" w:cs="Times New Roman"/>
        </w:rPr>
        <w:lastRenderedPageBreak/>
        <w:tab/>
        <w:t xml:space="preserve">The attached data appendix includes the network models illustrating linkages between the </w:t>
      </w:r>
      <w:r w:rsidRPr="00F52368">
        <w:rPr>
          <w:rFonts w:ascii="Times New Roman" w:hAnsi="Times New Roman" w:cs="Times New Roman"/>
          <w:highlight w:val="cyan"/>
        </w:rPr>
        <w:t>10 largest</w:t>
      </w:r>
      <w:r>
        <w:rPr>
          <w:rFonts w:ascii="Times New Roman" w:hAnsi="Times New Roman" w:cs="Times New Roman"/>
        </w:rPr>
        <w:t xml:space="preserve"> European firms as listed in the Fortune Global 500. Some preliminary findings are the following. </w:t>
      </w:r>
    </w:p>
    <w:p w14:paraId="3834CD5B" w14:textId="60D611E3" w:rsidR="00947D9A" w:rsidRDefault="00F52368" w:rsidP="00F52368">
      <w:pPr>
        <w:spacing w:line="480" w:lineRule="auto"/>
        <w:rPr>
          <w:rFonts w:ascii="Times New Roman" w:hAnsi="Times New Roman" w:cs="Times New Roman"/>
        </w:rPr>
      </w:pPr>
      <w:r>
        <w:rPr>
          <w:rFonts w:ascii="Times New Roman" w:hAnsi="Times New Roman" w:cs="Times New Roman"/>
        </w:rPr>
        <w:tab/>
        <w:t xml:space="preserve">First, the 10 largest firms have many interlinkages with other firms in the top 50, as well as with non-firm entities. </w:t>
      </w:r>
      <w:r w:rsidR="002802EF">
        <w:rPr>
          <w:rFonts w:ascii="Times New Roman" w:hAnsi="Times New Roman" w:cs="Times New Roman"/>
        </w:rPr>
        <w:t xml:space="preserve">In 2000, the ten largest European firms had 415 connections to other firms in the top 50, as well as non-firm entities. </w:t>
      </w:r>
      <w:r w:rsidR="00947D9A">
        <w:rPr>
          <w:rFonts w:ascii="Times New Roman" w:hAnsi="Times New Roman" w:cs="Times New Roman"/>
        </w:rPr>
        <w:t xml:space="preserve">The </w:t>
      </w:r>
      <w:r w:rsidR="002802EF">
        <w:rPr>
          <w:rFonts w:ascii="Times New Roman" w:hAnsi="Times New Roman" w:cs="Times New Roman"/>
        </w:rPr>
        <w:t>total number of connections</w:t>
      </w:r>
      <w:r w:rsidR="004C5E07">
        <w:rPr>
          <w:rFonts w:ascii="Times New Roman" w:hAnsi="Times New Roman" w:cs="Times New Roman"/>
        </w:rPr>
        <w:t xml:space="preserve"> between the top 10 firms</w:t>
      </w:r>
      <w:r w:rsidR="002802EF">
        <w:rPr>
          <w:rFonts w:ascii="Times New Roman" w:hAnsi="Times New Roman" w:cs="Times New Roman"/>
        </w:rPr>
        <w:t xml:space="preserve"> </w:t>
      </w:r>
      <w:r w:rsidR="004C5E07">
        <w:rPr>
          <w:rFonts w:ascii="Times New Roman" w:hAnsi="Times New Roman" w:cs="Times New Roman"/>
        </w:rPr>
        <w:t>within the top 50 fell to 382</w:t>
      </w:r>
      <w:r w:rsidR="00947D9A">
        <w:rPr>
          <w:rFonts w:ascii="Times New Roman" w:hAnsi="Times New Roman" w:cs="Times New Roman"/>
        </w:rPr>
        <w:t xml:space="preserve"> in 2005</w:t>
      </w:r>
      <w:r w:rsidR="004C5E07">
        <w:rPr>
          <w:rFonts w:ascii="Times New Roman" w:hAnsi="Times New Roman" w:cs="Times New Roman"/>
        </w:rPr>
        <w:t xml:space="preserve">, </w:t>
      </w:r>
      <w:r w:rsidR="006F0DD5">
        <w:rPr>
          <w:rFonts w:ascii="Times New Roman" w:hAnsi="Times New Roman" w:cs="Times New Roman"/>
        </w:rPr>
        <w:t xml:space="preserve">to 361 in 2010, </w:t>
      </w:r>
      <w:r w:rsidR="00947D9A">
        <w:rPr>
          <w:rFonts w:ascii="Times New Roman" w:hAnsi="Times New Roman" w:cs="Times New Roman"/>
        </w:rPr>
        <w:t>to 266 in 2015, and then rose to 275 in 2017. Adding firms to the analysis is likely to smooth out these figures, but it presents some interesting first assessments – the likelihood of firms to maintain linkages to other firms may be driven by a firm’s performance: firms that remain in the top ten may maintain their corporate membership and see gains over time while firms that fall out of the top ten may reduce their costs by shedding board members. More analysis of individual firm performance will illuminate this point better, and likewise, analysis of the shares of firms’ connections to other firms in the top 50 relative to their share of connections to other firms will fill in this picture.</w:t>
      </w:r>
      <w:r w:rsidR="00D0134A">
        <w:rPr>
          <w:rFonts w:ascii="Times New Roman" w:hAnsi="Times New Roman" w:cs="Times New Roman"/>
        </w:rPr>
        <w:t xml:space="preserve"> </w:t>
      </w:r>
      <w:r w:rsidR="00947D9A">
        <w:rPr>
          <w:rFonts w:ascii="Times New Roman" w:hAnsi="Times New Roman" w:cs="Times New Roman"/>
        </w:rPr>
        <w:t xml:space="preserve">Second, </w:t>
      </w:r>
      <w:r w:rsidR="00F958D3">
        <w:rPr>
          <w:rFonts w:ascii="Times New Roman" w:hAnsi="Times New Roman" w:cs="Times New Roman"/>
        </w:rPr>
        <w:t xml:space="preserve">Europe’s ten largest firms have many linkages to non-firm entities. In 2000, total linkages of the top ten firms to non-government entities was 136; in 2005, that figure was </w:t>
      </w:r>
      <w:r w:rsidR="00013983">
        <w:rPr>
          <w:rFonts w:ascii="Times New Roman" w:hAnsi="Times New Roman" w:cs="Times New Roman"/>
        </w:rPr>
        <w:t>143;</w:t>
      </w:r>
      <w:r w:rsidR="0059038C">
        <w:rPr>
          <w:rFonts w:ascii="Times New Roman" w:hAnsi="Times New Roman" w:cs="Times New Roman"/>
        </w:rPr>
        <w:t xml:space="preserve"> in 2010, </w:t>
      </w:r>
      <w:r w:rsidR="00013983">
        <w:rPr>
          <w:rFonts w:ascii="Times New Roman" w:hAnsi="Times New Roman" w:cs="Times New Roman"/>
        </w:rPr>
        <w:t>166</w:t>
      </w:r>
      <w:r w:rsidR="0049492D">
        <w:rPr>
          <w:rFonts w:ascii="Times New Roman" w:hAnsi="Times New Roman" w:cs="Times New Roman"/>
        </w:rPr>
        <w:t xml:space="preserve">; in 2015; to 159 in 2017. </w:t>
      </w:r>
      <w:r w:rsidR="00D0134A">
        <w:rPr>
          <w:rFonts w:ascii="Times New Roman" w:hAnsi="Times New Roman" w:cs="Times New Roman"/>
        </w:rPr>
        <w:t>There seems to be a decline in the share of linkages these firms have as a whole to other large European firms as time passes, while these firms’ share of linkages to non-firm rises over this period. Filling in the data picture with more firms will give an interesting counter point, and so will calculating relative shares of total firm interlinkages versus non-firm linkages.</w:t>
      </w:r>
    </w:p>
    <w:p w14:paraId="26E644BF" w14:textId="237CFE1D" w:rsidR="00F748ED" w:rsidRDefault="00D0134A" w:rsidP="00D0134A">
      <w:pPr>
        <w:spacing w:line="480" w:lineRule="auto"/>
        <w:rPr>
          <w:rFonts w:ascii="Times New Roman" w:hAnsi="Times New Roman" w:cs="Times New Roman"/>
        </w:rPr>
      </w:pPr>
      <w:r>
        <w:rPr>
          <w:rFonts w:ascii="Times New Roman" w:hAnsi="Times New Roman" w:cs="Times New Roman"/>
        </w:rPr>
        <w:tab/>
        <w:t xml:space="preserve">As a quick and dirty analysis of European corporate interlinkages, however, there is an interesting story to tell – firm level performance may dictate individual firms’ decisions about </w:t>
      </w:r>
      <w:r>
        <w:rPr>
          <w:rFonts w:ascii="Times New Roman" w:hAnsi="Times New Roman" w:cs="Times New Roman"/>
        </w:rPr>
        <w:lastRenderedPageBreak/>
        <w:t>how to compose their boards, while general trends in the relative connectedness of board members may follow distinct trajectories. Finally, non-firm linkages, while lower than firms’ connections to other large firms, seem to be an important source of firms’ board memberships. These relationships bear further exploration, as to their potential implications for firm, industry, or corporate lobbying as a whole within Europe.</w:t>
      </w:r>
      <w:r w:rsidR="00F748ED">
        <w:rPr>
          <w:rFonts w:ascii="Times New Roman" w:hAnsi="Times New Roman" w:cs="Times New Roman"/>
        </w:rPr>
        <w:br w:type="page"/>
      </w:r>
    </w:p>
    <w:p w14:paraId="62E337E0" w14:textId="513E9F51" w:rsidR="00F748ED" w:rsidRDefault="00F748ED" w:rsidP="00F748ED">
      <w:pPr>
        <w:rPr>
          <w:rFonts w:ascii="Times New Roman" w:hAnsi="Times New Roman" w:cs="Times New Roman"/>
        </w:rPr>
      </w:pPr>
      <w:r>
        <w:rPr>
          <w:rFonts w:ascii="Times New Roman" w:hAnsi="Times New Roman" w:cs="Times New Roman"/>
        </w:rPr>
        <w:lastRenderedPageBreak/>
        <w:t>Bibliography:</w:t>
      </w:r>
    </w:p>
    <w:p w14:paraId="41E38A54" w14:textId="77777777" w:rsidR="00F748ED" w:rsidRDefault="00F748ED" w:rsidP="00F748ED">
      <w:pPr>
        <w:rPr>
          <w:rFonts w:ascii="Times New Roman" w:hAnsi="Times New Roman" w:cs="Times New Roman"/>
        </w:rPr>
      </w:pPr>
    </w:p>
    <w:p w14:paraId="136C5791" w14:textId="34318BF9" w:rsidR="00AF4039" w:rsidRPr="00AF4039" w:rsidRDefault="00AF4039" w:rsidP="00F748ED">
      <w:pPr>
        <w:rPr>
          <w:rFonts w:ascii="Times New Roman" w:hAnsi="Times New Roman" w:cs="Times New Roman"/>
        </w:rPr>
      </w:pPr>
      <w:r>
        <w:rPr>
          <w:rFonts w:ascii="Times New Roman" w:hAnsi="Times New Roman" w:cs="Times New Roman"/>
        </w:rPr>
        <w:t xml:space="preserve">Bertrand, Marianne, Francis Kramarz, Antoinette Schoar, and David Thesmar. 2007. “Politicians, firms, and the political business cycle: Evidence from France.” </w:t>
      </w:r>
      <w:r>
        <w:rPr>
          <w:rFonts w:ascii="Times New Roman" w:hAnsi="Times New Roman" w:cs="Times New Roman"/>
          <w:i/>
        </w:rPr>
        <w:t>University of Chicago Working Paper (unpublished)</w:t>
      </w:r>
      <w:r>
        <w:rPr>
          <w:rFonts w:ascii="Times New Roman" w:hAnsi="Times New Roman" w:cs="Times New Roman"/>
        </w:rPr>
        <w:t>.</w:t>
      </w:r>
    </w:p>
    <w:p w14:paraId="3E682327" w14:textId="77777777" w:rsidR="00AF4039" w:rsidRDefault="00AF4039" w:rsidP="00F748ED">
      <w:pPr>
        <w:rPr>
          <w:rFonts w:ascii="Times New Roman" w:hAnsi="Times New Roman" w:cs="Times New Roman"/>
        </w:rPr>
      </w:pPr>
    </w:p>
    <w:p w14:paraId="6F0986AE" w14:textId="0A9AF4EB" w:rsidR="00EC1BB8" w:rsidRPr="00EC1BB8" w:rsidRDefault="00EC1BB8" w:rsidP="00F748ED">
      <w:pPr>
        <w:rPr>
          <w:rFonts w:ascii="Times New Roman" w:hAnsi="Times New Roman" w:cs="Times New Roman"/>
        </w:rPr>
      </w:pPr>
      <w:r>
        <w:rPr>
          <w:rFonts w:ascii="Times New Roman" w:hAnsi="Times New Roman" w:cs="Times New Roman"/>
        </w:rPr>
        <w:t xml:space="preserve">Brandeis, Louis. 1933. </w:t>
      </w:r>
      <w:r>
        <w:rPr>
          <w:rFonts w:ascii="Times New Roman" w:hAnsi="Times New Roman" w:cs="Times New Roman"/>
          <w:i/>
        </w:rPr>
        <w:t>Other people’s money and how bankers use it.</w:t>
      </w:r>
      <w:r>
        <w:rPr>
          <w:rFonts w:ascii="Times New Roman" w:hAnsi="Times New Roman" w:cs="Times New Roman"/>
        </w:rPr>
        <w:t xml:space="preserve"> New York: Frederick A Stokes, first published in 1913.</w:t>
      </w:r>
    </w:p>
    <w:p w14:paraId="74D0D987" w14:textId="77777777" w:rsidR="00EC1BB8" w:rsidRDefault="00EC1BB8" w:rsidP="00F748ED">
      <w:pPr>
        <w:rPr>
          <w:rFonts w:ascii="Times New Roman" w:hAnsi="Times New Roman" w:cs="Times New Roman"/>
        </w:rPr>
      </w:pPr>
    </w:p>
    <w:p w14:paraId="385B2C5E" w14:textId="66A1D472" w:rsidR="00E64A04" w:rsidRPr="00E64A04" w:rsidRDefault="00E64A04" w:rsidP="00F748ED">
      <w:pPr>
        <w:rPr>
          <w:rFonts w:ascii="Times New Roman" w:hAnsi="Times New Roman" w:cs="Times New Roman"/>
        </w:rPr>
      </w:pPr>
      <w:r>
        <w:rPr>
          <w:rFonts w:ascii="Times New Roman" w:hAnsi="Times New Roman" w:cs="Times New Roman"/>
        </w:rPr>
        <w:t xml:space="preserve">Buch-Hansen, Hubert. 2014. “Interlocking directorates and collusion: an empirical analysis.” </w:t>
      </w:r>
      <w:r>
        <w:rPr>
          <w:rFonts w:ascii="Times New Roman" w:hAnsi="Times New Roman" w:cs="Times New Roman"/>
          <w:i/>
        </w:rPr>
        <w:t>International Sociology</w:t>
      </w:r>
      <w:r>
        <w:rPr>
          <w:rFonts w:ascii="Times New Roman" w:hAnsi="Times New Roman" w:cs="Times New Roman"/>
        </w:rPr>
        <w:t xml:space="preserve"> 29(3): 249 – 267.</w:t>
      </w:r>
    </w:p>
    <w:p w14:paraId="1CC1D6A3" w14:textId="77777777" w:rsidR="00E64A04" w:rsidRDefault="00E64A04" w:rsidP="00F748ED">
      <w:pPr>
        <w:rPr>
          <w:rFonts w:ascii="Times New Roman" w:hAnsi="Times New Roman" w:cs="Times New Roman"/>
        </w:rPr>
      </w:pPr>
    </w:p>
    <w:p w14:paraId="2D30D0AC" w14:textId="6377B25E" w:rsidR="0055375B" w:rsidRPr="0055375B" w:rsidRDefault="0055375B" w:rsidP="00F748ED">
      <w:pPr>
        <w:rPr>
          <w:rFonts w:ascii="Times New Roman" w:hAnsi="Times New Roman" w:cs="Times New Roman"/>
        </w:rPr>
      </w:pPr>
      <w:r>
        <w:rPr>
          <w:rFonts w:ascii="Times New Roman" w:hAnsi="Times New Roman" w:cs="Times New Roman"/>
        </w:rPr>
        <w:t xml:space="preserve">Burris, Val. 2005. “Interlocking Directorates and Political Cohesion Among Corporate Elites.” </w:t>
      </w:r>
      <w:r>
        <w:rPr>
          <w:rFonts w:ascii="Times New Roman" w:hAnsi="Times New Roman" w:cs="Times New Roman"/>
          <w:i/>
        </w:rPr>
        <w:t>American Journal of Sociology</w:t>
      </w:r>
      <w:r>
        <w:rPr>
          <w:rFonts w:ascii="Times New Roman" w:hAnsi="Times New Roman" w:cs="Times New Roman"/>
        </w:rPr>
        <w:t xml:space="preserve"> 11(1): 249 – 283.</w:t>
      </w:r>
    </w:p>
    <w:p w14:paraId="44C22323" w14:textId="77777777" w:rsidR="0055375B" w:rsidRDefault="0055375B" w:rsidP="00F748ED">
      <w:pPr>
        <w:rPr>
          <w:rFonts w:ascii="Times New Roman" w:hAnsi="Times New Roman" w:cs="Times New Roman"/>
        </w:rPr>
      </w:pPr>
    </w:p>
    <w:p w14:paraId="5D3E4B14" w14:textId="2FA12813" w:rsidR="00D27042" w:rsidRPr="00D27042" w:rsidRDefault="00D27042" w:rsidP="00F748ED">
      <w:pPr>
        <w:rPr>
          <w:rFonts w:ascii="Times New Roman" w:hAnsi="Times New Roman" w:cs="Times New Roman"/>
        </w:rPr>
      </w:pPr>
      <w:r>
        <w:rPr>
          <w:rFonts w:ascii="Times New Roman" w:hAnsi="Times New Roman" w:cs="Times New Roman"/>
        </w:rPr>
        <w:t xml:space="preserve">Burris, Val and Clifford Staples. 2012. “In search of a transnational capitalist class: Alternative methods for comparing director interlocks within and between nations and regions.” </w:t>
      </w:r>
      <w:r>
        <w:rPr>
          <w:rFonts w:ascii="Times New Roman" w:hAnsi="Times New Roman" w:cs="Times New Roman"/>
          <w:i/>
        </w:rPr>
        <w:t>International Journal of Comparative Sociology</w:t>
      </w:r>
      <w:r>
        <w:rPr>
          <w:rFonts w:ascii="Times New Roman" w:hAnsi="Times New Roman" w:cs="Times New Roman"/>
        </w:rPr>
        <w:t xml:space="preserve"> 53(4): </w:t>
      </w:r>
    </w:p>
    <w:p w14:paraId="39D31B41" w14:textId="77777777" w:rsidR="00D27042" w:rsidRDefault="00D27042" w:rsidP="00F748ED">
      <w:pPr>
        <w:rPr>
          <w:rFonts w:ascii="Times New Roman" w:hAnsi="Times New Roman" w:cs="Times New Roman"/>
        </w:rPr>
      </w:pPr>
    </w:p>
    <w:p w14:paraId="5CFCBB6E" w14:textId="30304B35" w:rsidR="009A48C4" w:rsidRPr="009A48C4" w:rsidRDefault="009A48C4" w:rsidP="00F748ED">
      <w:pPr>
        <w:rPr>
          <w:rFonts w:ascii="Times New Roman" w:hAnsi="Times New Roman" w:cs="Times New Roman"/>
        </w:rPr>
      </w:pPr>
      <w:r>
        <w:rPr>
          <w:rFonts w:ascii="Times New Roman" w:hAnsi="Times New Roman" w:cs="Times New Roman"/>
        </w:rPr>
        <w:t xml:space="preserve">Carrick-Hagenbarth, Jessica, and Gerald Epstein. 2012. “Dangerous interconnectedness: economists’ conflicts of interest, ideology, and the financial crisis.” </w:t>
      </w:r>
      <w:r>
        <w:rPr>
          <w:rFonts w:ascii="Times New Roman" w:hAnsi="Times New Roman" w:cs="Times New Roman"/>
          <w:i/>
        </w:rPr>
        <w:t>Cambridge Journal of Economics</w:t>
      </w:r>
      <w:r>
        <w:rPr>
          <w:rFonts w:ascii="Times New Roman" w:hAnsi="Times New Roman" w:cs="Times New Roman"/>
        </w:rPr>
        <w:t xml:space="preserve"> 36: 43 – 63.</w:t>
      </w:r>
    </w:p>
    <w:p w14:paraId="66AF6278" w14:textId="77777777" w:rsidR="009A48C4" w:rsidRDefault="009A48C4" w:rsidP="00F748ED">
      <w:pPr>
        <w:rPr>
          <w:rFonts w:ascii="Times New Roman" w:hAnsi="Times New Roman" w:cs="Times New Roman"/>
        </w:rPr>
      </w:pPr>
    </w:p>
    <w:p w14:paraId="6FFD5835" w14:textId="5B80BC9E" w:rsidR="009B39DD" w:rsidRDefault="009B39DD" w:rsidP="00F748ED">
      <w:pPr>
        <w:rPr>
          <w:rFonts w:ascii="Times New Roman" w:hAnsi="Times New Roman" w:cs="Times New Roman"/>
        </w:rPr>
      </w:pPr>
      <w:r>
        <w:rPr>
          <w:rFonts w:ascii="Times New Roman" w:hAnsi="Times New Roman" w:cs="Times New Roman"/>
        </w:rPr>
        <w:t xml:space="preserve">Corporate Board Member/FTI Consulting. 2010. “Feeling the Heat.” </w:t>
      </w:r>
      <w:r w:rsidR="00A63BA9">
        <w:rPr>
          <w:rFonts w:ascii="Times New Roman" w:hAnsi="Times New Roman" w:cs="Times New Roman"/>
        </w:rPr>
        <w:t>Survey of Board Members</w:t>
      </w:r>
      <w:r>
        <w:rPr>
          <w:rFonts w:ascii="Times New Roman" w:hAnsi="Times New Roman" w:cs="Times New Roman"/>
        </w:rPr>
        <w:t>.</w:t>
      </w:r>
      <w:r w:rsidR="00A63BA9">
        <w:rPr>
          <w:rFonts w:ascii="Times New Roman" w:hAnsi="Times New Roman" w:cs="Times New Roman"/>
        </w:rPr>
        <w:t xml:space="preserve"> </w:t>
      </w:r>
    </w:p>
    <w:p w14:paraId="652DDE24" w14:textId="77777777" w:rsidR="009B39DD" w:rsidRDefault="009B39DD" w:rsidP="00F748ED">
      <w:pPr>
        <w:rPr>
          <w:rFonts w:ascii="Times New Roman" w:hAnsi="Times New Roman" w:cs="Times New Roman"/>
        </w:rPr>
      </w:pPr>
    </w:p>
    <w:p w14:paraId="6D1C756F" w14:textId="41B6F934" w:rsidR="00735C33" w:rsidRPr="00735C33" w:rsidRDefault="00735C33" w:rsidP="00F748ED">
      <w:pPr>
        <w:rPr>
          <w:rFonts w:ascii="Times New Roman" w:hAnsi="Times New Roman" w:cs="Times New Roman"/>
        </w:rPr>
      </w:pPr>
      <w:r>
        <w:rPr>
          <w:rFonts w:ascii="Times New Roman" w:hAnsi="Times New Roman" w:cs="Times New Roman"/>
        </w:rPr>
        <w:t xml:space="preserve">Deeg, Richard. 1999. </w:t>
      </w:r>
      <w:r>
        <w:rPr>
          <w:rFonts w:ascii="Times New Roman" w:hAnsi="Times New Roman" w:cs="Times New Roman"/>
          <w:i/>
        </w:rPr>
        <w:t>Finance capitalism unveiled: Banks and the German political economy</w:t>
      </w:r>
      <w:r>
        <w:rPr>
          <w:rFonts w:ascii="Times New Roman" w:hAnsi="Times New Roman" w:cs="Times New Roman"/>
        </w:rPr>
        <w:t>. Ann Arbor: University of Michigan Press.</w:t>
      </w:r>
    </w:p>
    <w:p w14:paraId="77D20614" w14:textId="77777777" w:rsidR="00735C33" w:rsidRDefault="00735C33" w:rsidP="00F748ED">
      <w:pPr>
        <w:rPr>
          <w:rFonts w:ascii="Times New Roman" w:hAnsi="Times New Roman" w:cs="Times New Roman"/>
        </w:rPr>
      </w:pPr>
    </w:p>
    <w:p w14:paraId="7821D570" w14:textId="4DC18EAC" w:rsidR="000B5D0C" w:rsidRDefault="000B5D0C" w:rsidP="00F748ED">
      <w:pPr>
        <w:rPr>
          <w:rFonts w:ascii="Times New Roman" w:hAnsi="Times New Roman" w:cs="Times New Roman"/>
        </w:rPr>
      </w:pPr>
      <w:r>
        <w:rPr>
          <w:rFonts w:ascii="Times New Roman" w:hAnsi="Times New Roman" w:cs="Times New Roman"/>
        </w:rPr>
        <w:t xml:space="preserve">Dooley, Peter. 1969. “The interlocking directorate.” </w:t>
      </w:r>
      <w:r>
        <w:rPr>
          <w:rFonts w:ascii="Times New Roman" w:hAnsi="Times New Roman" w:cs="Times New Roman"/>
          <w:i/>
        </w:rPr>
        <w:t>The American Economic Review</w:t>
      </w:r>
      <w:r>
        <w:rPr>
          <w:rFonts w:ascii="Times New Roman" w:hAnsi="Times New Roman" w:cs="Times New Roman"/>
        </w:rPr>
        <w:t xml:space="preserve"> 59(3): 314 – 323.</w:t>
      </w:r>
    </w:p>
    <w:p w14:paraId="750DB415" w14:textId="77777777" w:rsidR="00B57F12" w:rsidRDefault="00B57F12" w:rsidP="00F748ED">
      <w:pPr>
        <w:rPr>
          <w:rFonts w:ascii="Times New Roman" w:hAnsi="Times New Roman" w:cs="Times New Roman"/>
        </w:rPr>
      </w:pPr>
    </w:p>
    <w:p w14:paraId="02FC94E2" w14:textId="57E7C417" w:rsidR="00DA478F" w:rsidRDefault="00DA478F" w:rsidP="00F748ED">
      <w:pPr>
        <w:rPr>
          <w:rFonts w:ascii="Times New Roman" w:hAnsi="Times New Roman" w:cs="Times New Roman"/>
        </w:rPr>
      </w:pPr>
      <w:r>
        <w:rPr>
          <w:rFonts w:ascii="Times New Roman" w:hAnsi="Times New Roman" w:cs="Times New Roman"/>
        </w:rPr>
        <w:t xml:space="preserve">Drago, Carlo, Francesco Millo, Roberto Ricciuti, and Paolo Santella. 2011. “Corporate governance reforms, interlocking directorship networks, and company value in Italy.” </w:t>
      </w:r>
      <w:r>
        <w:rPr>
          <w:rFonts w:ascii="Times New Roman" w:hAnsi="Times New Roman" w:cs="Times New Roman"/>
          <w:i/>
        </w:rPr>
        <w:t>CESifo Working Paper MNo. 3322</w:t>
      </w:r>
      <w:r>
        <w:rPr>
          <w:rFonts w:ascii="Times New Roman" w:hAnsi="Times New Roman" w:cs="Times New Roman"/>
        </w:rPr>
        <w:t>.</w:t>
      </w:r>
    </w:p>
    <w:p w14:paraId="21D3C551" w14:textId="77777777" w:rsidR="003169E1" w:rsidRDefault="003169E1" w:rsidP="00F748ED">
      <w:pPr>
        <w:rPr>
          <w:rFonts w:ascii="Times New Roman" w:hAnsi="Times New Roman" w:cs="Times New Roman"/>
        </w:rPr>
      </w:pPr>
    </w:p>
    <w:p w14:paraId="44C7F05F" w14:textId="55E720A6" w:rsidR="00A675A8" w:rsidRPr="00A675A8" w:rsidRDefault="00A675A8" w:rsidP="00F748ED">
      <w:pPr>
        <w:rPr>
          <w:rFonts w:ascii="Times New Roman" w:hAnsi="Times New Roman" w:cs="Times New Roman"/>
        </w:rPr>
      </w:pPr>
      <w:r>
        <w:rPr>
          <w:rFonts w:ascii="Times New Roman" w:hAnsi="Times New Roman" w:cs="Times New Roman"/>
        </w:rPr>
        <w:t xml:space="preserve">Faccio, Mara. 2006. “Politically Connected Firms.” </w:t>
      </w:r>
      <w:r>
        <w:rPr>
          <w:rFonts w:ascii="Times New Roman" w:hAnsi="Times New Roman" w:cs="Times New Roman"/>
          <w:i/>
        </w:rPr>
        <w:t>American Economic Review</w:t>
      </w:r>
      <w:r>
        <w:rPr>
          <w:rFonts w:ascii="Times New Roman" w:hAnsi="Times New Roman" w:cs="Times New Roman"/>
        </w:rPr>
        <w:t xml:space="preserve"> 96(1): 369 – 386.</w:t>
      </w:r>
    </w:p>
    <w:p w14:paraId="455D5017" w14:textId="77777777" w:rsidR="00A675A8" w:rsidRDefault="00A675A8" w:rsidP="00F748ED">
      <w:pPr>
        <w:rPr>
          <w:rFonts w:ascii="Times New Roman" w:hAnsi="Times New Roman" w:cs="Times New Roman"/>
        </w:rPr>
      </w:pPr>
    </w:p>
    <w:p w14:paraId="544578D6" w14:textId="109DA7CE" w:rsidR="003169E1" w:rsidRPr="003169E1" w:rsidRDefault="003169E1" w:rsidP="00F748ED">
      <w:pPr>
        <w:rPr>
          <w:rFonts w:ascii="Times New Roman" w:hAnsi="Times New Roman" w:cs="Times New Roman"/>
        </w:rPr>
      </w:pPr>
      <w:r>
        <w:rPr>
          <w:rFonts w:ascii="Times New Roman" w:hAnsi="Times New Roman" w:cs="Times New Roman"/>
        </w:rPr>
        <w:t xml:space="preserve">Faccio, Mara. 2010. “Differences between politically connected and nonconnected firms: A cross-country analysis.” </w:t>
      </w:r>
      <w:r>
        <w:rPr>
          <w:rFonts w:ascii="Times New Roman" w:hAnsi="Times New Roman" w:cs="Times New Roman"/>
          <w:i/>
        </w:rPr>
        <w:t>Financial Management</w:t>
      </w:r>
      <w:r>
        <w:rPr>
          <w:rFonts w:ascii="Times New Roman" w:hAnsi="Times New Roman" w:cs="Times New Roman"/>
        </w:rPr>
        <w:t xml:space="preserve"> 39(3): 905 – 927.</w:t>
      </w:r>
    </w:p>
    <w:p w14:paraId="2EE84372" w14:textId="77777777" w:rsidR="00DA478F" w:rsidRDefault="00DA478F" w:rsidP="00F748ED">
      <w:pPr>
        <w:rPr>
          <w:rFonts w:ascii="Times New Roman" w:hAnsi="Times New Roman" w:cs="Times New Roman"/>
        </w:rPr>
      </w:pPr>
    </w:p>
    <w:p w14:paraId="4B7D97A8" w14:textId="77777777" w:rsidR="00A675A8" w:rsidRPr="0077294B" w:rsidRDefault="00A675A8" w:rsidP="00A675A8">
      <w:pPr>
        <w:rPr>
          <w:rFonts w:ascii="Times New Roman" w:hAnsi="Times New Roman" w:cs="Times New Roman"/>
        </w:rPr>
      </w:pPr>
      <w:r>
        <w:rPr>
          <w:rFonts w:ascii="Times New Roman" w:hAnsi="Times New Roman" w:cs="Times New Roman"/>
        </w:rPr>
        <w:t xml:space="preserve">Faccio, Mara, Ronald Masulis, and John McConnell. 2006. “Political Connections and Corporate Bailouts.” </w:t>
      </w:r>
      <w:r>
        <w:rPr>
          <w:rFonts w:ascii="Times New Roman" w:hAnsi="Times New Roman" w:cs="Times New Roman"/>
          <w:i/>
        </w:rPr>
        <w:t>The Journal of Finance</w:t>
      </w:r>
      <w:r>
        <w:rPr>
          <w:rFonts w:ascii="Times New Roman" w:hAnsi="Times New Roman" w:cs="Times New Roman"/>
        </w:rPr>
        <w:t xml:space="preserve"> 61(6): 2597 – 2635.</w:t>
      </w:r>
    </w:p>
    <w:p w14:paraId="241B6EFD" w14:textId="77777777" w:rsidR="00A675A8" w:rsidRDefault="00A675A8" w:rsidP="00F748ED">
      <w:pPr>
        <w:rPr>
          <w:rFonts w:ascii="Times New Roman" w:hAnsi="Times New Roman" w:cs="Times New Roman"/>
        </w:rPr>
      </w:pPr>
    </w:p>
    <w:p w14:paraId="75613BCB" w14:textId="6FDD3E3C" w:rsidR="00374BB0" w:rsidRPr="00374BB0" w:rsidRDefault="00374BB0" w:rsidP="00F748ED">
      <w:pPr>
        <w:rPr>
          <w:rFonts w:ascii="Times New Roman" w:hAnsi="Times New Roman" w:cs="Times New Roman"/>
        </w:rPr>
      </w:pPr>
      <w:r>
        <w:rPr>
          <w:rFonts w:ascii="Times New Roman" w:hAnsi="Times New Roman" w:cs="Times New Roman"/>
        </w:rPr>
        <w:t xml:space="preserve">Goldman, Eitan, Jörg Rocholl, and Jongil So. “Politically Connected Boards of Directors and the Allocation of Procurement Contracts.” </w:t>
      </w:r>
      <w:r>
        <w:rPr>
          <w:rFonts w:ascii="Times New Roman" w:hAnsi="Times New Roman" w:cs="Times New Roman"/>
          <w:i/>
        </w:rPr>
        <w:t>Review of Finance</w:t>
      </w:r>
      <w:r>
        <w:rPr>
          <w:rFonts w:ascii="Times New Roman" w:hAnsi="Times New Roman" w:cs="Times New Roman"/>
        </w:rPr>
        <w:t xml:space="preserve"> 17(5): 1617 – 1648. </w:t>
      </w:r>
    </w:p>
    <w:p w14:paraId="2E3FCD50" w14:textId="77777777" w:rsidR="00374BB0" w:rsidRDefault="00374BB0" w:rsidP="00F748ED">
      <w:pPr>
        <w:rPr>
          <w:rFonts w:ascii="Times New Roman" w:hAnsi="Times New Roman" w:cs="Times New Roman"/>
        </w:rPr>
      </w:pPr>
    </w:p>
    <w:p w14:paraId="29C276E0" w14:textId="4E01E922" w:rsidR="00B57F12" w:rsidRPr="00B57F12" w:rsidRDefault="00B57F12" w:rsidP="00F748ED">
      <w:pPr>
        <w:rPr>
          <w:rFonts w:ascii="Times New Roman" w:hAnsi="Times New Roman" w:cs="Times New Roman"/>
        </w:rPr>
      </w:pPr>
      <w:r>
        <w:rPr>
          <w:rFonts w:ascii="Times New Roman" w:hAnsi="Times New Roman" w:cs="Times New Roman"/>
        </w:rPr>
        <w:t xml:space="preserve">Gulati, Ranjay. 1998. “Alliances and networks.” </w:t>
      </w:r>
      <w:r>
        <w:rPr>
          <w:rFonts w:ascii="Times New Roman" w:hAnsi="Times New Roman" w:cs="Times New Roman"/>
          <w:i/>
        </w:rPr>
        <w:t>Strategic Management Journal</w:t>
      </w:r>
      <w:r>
        <w:rPr>
          <w:rFonts w:ascii="Times New Roman" w:hAnsi="Times New Roman" w:cs="Times New Roman"/>
        </w:rPr>
        <w:t xml:space="preserve"> 19(4): 293 – 317.</w:t>
      </w:r>
    </w:p>
    <w:p w14:paraId="45060F11" w14:textId="77777777" w:rsidR="000B5D0C" w:rsidRDefault="000B5D0C" w:rsidP="00F748ED">
      <w:pPr>
        <w:rPr>
          <w:rFonts w:ascii="Times New Roman" w:hAnsi="Times New Roman" w:cs="Times New Roman"/>
        </w:rPr>
      </w:pPr>
    </w:p>
    <w:p w14:paraId="187EA902" w14:textId="60B37661" w:rsidR="008B0769" w:rsidRPr="007B66EE" w:rsidRDefault="008B0769" w:rsidP="00F748ED">
      <w:pPr>
        <w:rPr>
          <w:rFonts w:ascii="Times New Roman" w:hAnsi="Times New Roman" w:cs="Times New Roman"/>
        </w:rPr>
      </w:pPr>
      <w:r>
        <w:rPr>
          <w:rFonts w:ascii="Times New Roman" w:hAnsi="Times New Roman" w:cs="Times New Roman"/>
        </w:rPr>
        <w:t xml:space="preserve">Heemskerk, Eelke. 2013. “The rise of the European corporate elite: evidence from the network of interlocking directorates in 2005 and 2010.” </w:t>
      </w:r>
      <w:r w:rsidR="007B66EE">
        <w:rPr>
          <w:rFonts w:ascii="Times New Roman" w:hAnsi="Times New Roman" w:cs="Times New Roman"/>
          <w:i/>
        </w:rPr>
        <w:t>Economy and Society</w:t>
      </w:r>
      <w:r w:rsidR="007B66EE">
        <w:rPr>
          <w:rFonts w:ascii="Times New Roman" w:hAnsi="Times New Roman" w:cs="Times New Roman"/>
        </w:rPr>
        <w:t xml:space="preserve"> </w:t>
      </w:r>
      <w:r w:rsidR="00AD62A1">
        <w:rPr>
          <w:rFonts w:ascii="Times New Roman" w:hAnsi="Times New Roman" w:cs="Times New Roman"/>
        </w:rPr>
        <w:t xml:space="preserve">42(1): 74 – 101. </w:t>
      </w:r>
    </w:p>
    <w:p w14:paraId="4E2680B3" w14:textId="77777777" w:rsidR="008B0769" w:rsidRDefault="008B0769" w:rsidP="00F748ED">
      <w:pPr>
        <w:rPr>
          <w:rFonts w:ascii="Times New Roman" w:hAnsi="Times New Roman" w:cs="Times New Roman"/>
        </w:rPr>
      </w:pPr>
    </w:p>
    <w:p w14:paraId="750AA6AC" w14:textId="7B1D0BBB" w:rsidR="002F2C05" w:rsidRPr="00EB603A" w:rsidRDefault="002F2C05" w:rsidP="00F748ED">
      <w:pPr>
        <w:rPr>
          <w:rFonts w:ascii="Times New Roman" w:hAnsi="Times New Roman" w:cs="Times New Roman"/>
        </w:rPr>
      </w:pPr>
      <w:r>
        <w:rPr>
          <w:rFonts w:ascii="Times New Roman" w:hAnsi="Times New Roman" w:cs="Times New Roman"/>
        </w:rPr>
        <w:t xml:space="preserve">Heemskerk, Eelke, Meindert Fennema, and William Carroll. </w:t>
      </w:r>
      <w:r w:rsidR="00EB603A">
        <w:rPr>
          <w:rFonts w:ascii="Times New Roman" w:hAnsi="Times New Roman" w:cs="Times New Roman"/>
        </w:rPr>
        <w:t xml:space="preserve">2016. The global corporate elite after the financial crisis: evidence from the transnational network of interlocking directorates. </w:t>
      </w:r>
      <w:r w:rsidR="00EB603A">
        <w:rPr>
          <w:rFonts w:ascii="Times New Roman" w:hAnsi="Times New Roman" w:cs="Times New Roman"/>
          <w:i/>
        </w:rPr>
        <w:t>Global Networks</w:t>
      </w:r>
      <w:r w:rsidR="00EB603A">
        <w:rPr>
          <w:rFonts w:ascii="Times New Roman" w:hAnsi="Times New Roman" w:cs="Times New Roman"/>
        </w:rPr>
        <w:t xml:space="preserve"> 16(1): 68 – 88. </w:t>
      </w:r>
    </w:p>
    <w:p w14:paraId="34A91A62" w14:textId="77777777" w:rsidR="002F2C05" w:rsidRDefault="002F2C05" w:rsidP="00F748ED">
      <w:pPr>
        <w:rPr>
          <w:rFonts w:ascii="Times New Roman" w:hAnsi="Times New Roman" w:cs="Times New Roman"/>
        </w:rPr>
      </w:pPr>
    </w:p>
    <w:p w14:paraId="665490E2" w14:textId="068B4C34" w:rsidR="00D70A4A" w:rsidRPr="00D70A4A" w:rsidRDefault="00D70A4A" w:rsidP="00F748ED">
      <w:pPr>
        <w:rPr>
          <w:rFonts w:ascii="Times New Roman" w:hAnsi="Times New Roman" w:cs="Times New Roman"/>
        </w:rPr>
      </w:pPr>
      <w:r>
        <w:rPr>
          <w:rFonts w:ascii="Times New Roman" w:hAnsi="Times New Roman" w:cs="Times New Roman"/>
        </w:rPr>
        <w:t xml:space="preserve">Heemskerk, Eelke and Frank Takes. 2016. “The Corporate Elite Community Structure of Global Capitalism.” </w:t>
      </w:r>
      <w:r>
        <w:rPr>
          <w:rFonts w:ascii="Times New Roman" w:hAnsi="Times New Roman" w:cs="Times New Roman"/>
          <w:i/>
        </w:rPr>
        <w:t>New Political Economy</w:t>
      </w:r>
      <w:r>
        <w:rPr>
          <w:rFonts w:ascii="Times New Roman" w:hAnsi="Times New Roman" w:cs="Times New Roman"/>
        </w:rPr>
        <w:t xml:space="preserve"> </w:t>
      </w:r>
      <w:r w:rsidR="00163815">
        <w:rPr>
          <w:rFonts w:ascii="Times New Roman" w:hAnsi="Times New Roman" w:cs="Times New Roman"/>
        </w:rPr>
        <w:t>21(1): 90 – 118.</w:t>
      </w:r>
    </w:p>
    <w:p w14:paraId="55472C94" w14:textId="77777777" w:rsidR="00D70A4A" w:rsidRDefault="00D70A4A" w:rsidP="00F748ED">
      <w:pPr>
        <w:rPr>
          <w:rFonts w:ascii="Times New Roman" w:hAnsi="Times New Roman" w:cs="Times New Roman"/>
        </w:rPr>
      </w:pPr>
    </w:p>
    <w:p w14:paraId="36B4236B" w14:textId="405B5D38" w:rsidR="00E23073" w:rsidRPr="00E23073" w:rsidRDefault="00E23073" w:rsidP="00F748ED">
      <w:pPr>
        <w:rPr>
          <w:rFonts w:ascii="Times New Roman" w:hAnsi="Times New Roman" w:cs="Times New Roman"/>
        </w:rPr>
      </w:pPr>
      <w:r>
        <w:rPr>
          <w:rFonts w:ascii="Times New Roman" w:hAnsi="Times New Roman" w:cs="Times New Roman"/>
        </w:rPr>
        <w:t xml:space="preserve">Johnsen, Gudrun. 2014. </w:t>
      </w:r>
      <w:r>
        <w:rPr>
          <w:rFonts w:ascii="Times New Roman" w:hAnsi="Times New Roman" w:cs="Times New Roman"/>
          <w:i/>
        </w:rPr>
        <w:t>Bringing down the banking system</w:t>
      </w:r>
      <w:r w:rsidR="009C438D">
        <w:rPr>
          <w:rFonts w:ascii="Times New Roman" w:hAnsi="Times New Roman" w:cs="Times New Roman"/>
          <w:i/>
        </w:rPr>
        <w:t>: Lessons from Iceland</w:t>
      </w:r>
      <w:r>
        <w:rPr>
          <w:rFonts w:ascii="Times New Roman" w:hAnsi="Times New Roman" w:cs="Times New Roman"/>
          <w:i/>
        </w:rPr>
        <w:t>.</w:t>
      </w:r>
      <w:r>
        <w:rPr>
          <w:rFonts w:ascii="Times New Roman" w:hAnsi="Times New Roman" w:cs="Times New Roman"/>
        </w:rPr>
        <w:t xml:space="preserve"> New York: Palgrave Macmillan.</w:t>
      </w:r>
    </w:p>
    <w:p w14:paraId="37BF9C42" w14:textId="77777777" w:rsidR="00E23073" w:rsidRDefault="00E23073" w:rsidP="00F748ED">
      <w:pPr>
        <w:rPr>
          <w:rFonts w:ascii="Times New Roman" w:hAnsi="Times New Roman" w:cs="Times New Roman"/>
        </w:rPr>
      </w:pPr>
    </w:p>
    <w:p w14:paraId="5DA7E4AD" w14:textId="2773A0A7" w:rsidR="005F55DE" w:rsidRPr="005F55DE" w:rsidRDefault="005F55DE" w:rsidP="00F748ED">
      <w:pPr>
        <w:rPr>
          <w:rFonts w:ascii="Times New Roman" w:hAnsi="Times New Roman" w:cs="Times New Roman"/>
        </w:rPr>
      </w:pPr>
      <w:r>
        <w:rPr>
          <w:rFonts w:ascii="Times New Roman" w:hAnsi="Times New Roman" w:cs="Times New Roman"/>
        </w:rPr>
        <w:t xml:space="preserve">Johnson, Jonathan, Catherine Daily, and Allan Ellstrand. 1996. “Boards of directors: A review and research agenda.” </w:t>
      </w:r>
      <w:r>
        <w:rPr>
          <w:rFonts w:ascii="Times New Roman" w:hAnsi="Times New Roman" w:cs="Times New Roman"/>
          <w:i/>
        </w:rPr>
        <w:t>Journal of Management</w:t>
      </w:r>
      <w:r>
        <w:rPr>
          <w:rFonts w:ascii="Times New Roman" w:hAnsi="Times New Roman" w:cs="Times New Roman"/>
        </w:rPr>
        <w:t xml:space="preserve"> 22(3): 409 – 438.</w:t>
      </w:r>
    </w:p>
    <w:p w14:paraId="0CFC9E70" w14:textId="77777777" w:rsidR="005F55DE" w:rsidRDefault="005F55DE" w:rsidP="00F748ED">
      <w:pPr>
        <w:rPr>
          <w:rFonts w:ascii="Times New Roman" w:hAnsi="Times New Roman" w:cs="Times New Roman"/>
        </w:rPr>
      </w:pPr>
    </w:p>
    <w:p w14:paraId="4B122C3C" w14:textId="3806050A" w:rsidR="00B93A1D" w:rsidRPr="00B93A1D" w:rsidRDefault="00B93A1D" w:rsidP="00F748ED">
      <w:pPr>
        <w:rPr>
          <w:rFonts w:ascii="Times New Roman" w:hAnsi="Times New Roman" w:cs="Times New Roman"/>
        </w:rPr>
      </w:pPr>
      <w:r>
        <w:rPr>
          <w:rFonts w:ascii="Times New Roman" w:hAnsi="Times New Roman" w:cs="Times New Roman"/>
        </w:rPr>
        <w:t xml:space="preserve">Jones, Thomas, and Leonard Goldberg. 1982. “Governing the large corporation: More arguments for public directors.” </w:t>
      </w:r>
      <w:r>
        <w:rPr>
          <w:rFonts w:ascii="Times New Roman" w:hAnsi="Times New Roman" w:cs="Times New Roman"/>
          <w:i/>
        </w:rPr>
        <w:t>The Academy of Management Review</w:t>
      </w:r>
      <w:r>
        <w:rPr>
          <w:rFonts w:ascii="Times New Roman" w:hAnsi="Times New Roman" w:cs="Times New Roman"/>
        </w:rPr>
        <w:t xml:space="preserve"> 7(4): 603 – 611.</w:t>
      </w:r>
    </w:p>
    <w:p w14:paraId="1337CD6B" w14:textId="77777777" w:rsidR="00B93A1D" w:rsidRDefault="00B93A1D" w:rsidP="00F748ED">
      <w:pPr>
        <w:rPr>
          <w:rFonts w:ascii="Times New Roman" w:hAnsi="Times New Roman" w:cs="Times New Roman"/>
        </w:rPr>
      </w:pPr>
    </w:p>
    <w:p w14:paraId="4696D23D" w14:textId="1482E831" w:rsidR="000546C4" w:rsidRPr="000546C4" w:rsidRDefault="000546C4" w:rsidP="00F748ED">
      <w:pPr>
        <w:rPr>
          <w:rFonts w:ascii="Times New Roman" w:hAnsi="Times New Roman" w:cs="Times New Roman"/>
        </w:rPr>
      </w:pPr>
      <w:r>
        <w:rPr>
          <w:rFonts w:ascii="Times New Roman" w:hAnsi="Times New Roman" w:cs="Times New Roman"/>
        </w:rPr>
        <w:t xml:space="preserve">Kwaja, Asim and Atif Mian. 2005. “Do Lenders Favor Politically Connected Firms? Rent Provision in an Emerging Financial Market.” </w:t>
      </w:r>
      <w:r>
        <w:rPr>
          <w:rFonts w:ascii="Times New Roman" w:hAnsi="Times New Roman" w:cs="Times New Roman"/>
          <w:i/>
        </w:rPr>
        <w:t>The Quarterly Journal of Economics</w:t>
      </w:r>
      <w:r>
        <w:rPr>
          <w:rFonts w:ascii="Times New Roman" w:hAnsi="Times New Roman" w:cs="Times New Roman"/>
        </w:rPr>
        <w:t xml:space="preserve"> 120(4): 1371 – 1411. </w:t>
      </w:r>
    </w:p>
    <w:p w14:paraId="230C55DD" w14:textId="77777777" w:rsidR="000546C4" w:rsidRDefault="000546C4" w:rsidP="00F748ED">
      <w:pPr>
        <w:rPr>
          <w:rFonts w:ascii="Times New Roman" w:hAnsi="Times New Roman" w:cs="Times New Roman"/>
        </w:rPr>
      </w:pPr>
    </w:p>
    <w:p w14:paraId="12D7C8F1" w14:textId="0C4B7A13" w:rsidR="000546C4" w:rsidRDefault="00D03A47" w:rsidP="00F748ED">
      <w:pPr>
        <w:rPr>
          <w:rFonts w:ascii="Times New Roman" w:hAnsi="Times New Roman" w:cs="Times New Roman"/>
        </w:rPr>
      </w:pPr>
      <w:r>
        <w:rPr>
          <w:rFonts w:ascii="Times New Roman" w:hAnsi="Times New Roman" w:cs="Times New Roman"/>
        </w:rPr>
        <w:t xml:space="preserve">Kwak, James. 2014. “Cultural </w:t>
      </w:r>
      <w:r w:rsidR="000D13AD">
        <w:rPr>
          <w:rFonts w:ascii="Times New Roman" w:hAnsi="Times New Roman" w:cs="Times New Roman"/>
        </w:rPr>
        <w:t>c</w:t>
      </w:r>
      <w:r>
        <w:rPr>
          <w:rFonts w:ascii="Times New Roman" w:hAnsi="Times New Roman" w:cs="Times New Roman"/>
        </w:rPr>
        <w:t>apture</w:t>
      </w:r>
      <w:r w:rsidR="000D13AD">
        <w:rPr>
          <w:rFonts w:ascii="Times New Roman" w:hAnsi="Times New Roman" w:cs="Times New Roman"/>
        </w:rPr>
        <w:t xml:space="preserve"> and the financial crisis</w:t>
      </w:r>
      <w:r>
        <w:rPr>
          <w:rFonts w:ascii="Times New Roman" w:hAnsi="Times New Roman" w:cs="Times New Roman"/>
        </w:rPr>
        <w:t xml:space="preserve">,” in </w:t>
      </w:r>
      <w:r>
        <w:rPr>
          <w:rFonts w:ascii="Times New Roman" w:hAnsi="Times New Roman" w:cs="Times New Roman"/>
          <w:i/>
        </w:rPr>
        <w:t>Preventing regulatory capture</w:t>
      </w:r>
      <w:r>
        <w:rPr>
          <w:rFonts w:ascii="Times New Roman" w:hAnsi="Times New Roman" w:cs="Times New Roman"/>
        </w:rPr>
        <w:t xml:space="preserve">, edited by </w:t>
      </w:r>
      <w:r w:rsidR="000D13AD">
        <w:rPr>
          <w:rFonts w:ascii="Times New Roman" w:hAnsi="Times New Roman" w:cs="Times New Roman"/>
        </w:rPr>
        <w:t xml:space="preserve">Daniel </w:t>
      </w:r>
      <w:r>
        <w:rPr>
          <w:rFonts w:ascii="Times New Roman" w:hAnsi="Times New Roman" w:cs="Times New Roman"/>
        </w:rPr>
        <w:t xml:space="preserve">Carpenter and </w:t>
      </w:r>
      <w:r w:rsidR="000D13AD">
        <w:rPr>
          <w:rFonts w:ascii="Times New Roman" w:hAnsi="Times New Roman" w:cs="Times New Roman"/>
        </w:rPr>
        <w:t xml:space="preserve">David </w:t>
      </w:r>
      <w:r>
        <w:rPr>
          <w:rFonts w:ascii="Times New Roman" w:hAnsi="Times New Roman" w:cs="Times New Roman"/>
        </w:rPr>
        <w:t xml:space="preserve">Moss, </w:t>
      </w:r>
      <w:r w:rsidR="000D13AD">
        <w:rPr>
          <w:rFonts w:ascii="Times New Roman" w:hAnsi="Times New Roman" w:cs="Times New Roman"/>
        </w:rPr>
        <w:t>pages 71</w:t>
      </w:r>
      <w:r>
        <w:rPr>
          <w:rFonts w:ascii="Times New Roman" w:hAnsi="Times New Roman" w:cs="Times New Roman"/>
        </w:rPr>
        <w:t xml:space="preserve"> through </w:t>
      </w:r>
      <w:r w:rsidR="000D13AD">
        <w:rPr>
          <w:rFonts w:ascii="Times New Roman" w:hAnsi="Times New Roman" w:cs="Times New Roman"/>
        </w:rPr>
        <w:t>98</w:t>
      </w:r>
      <w:r>
        <w:rPr>
          <w:rFonts w:ascii="Times New Roman" w:hAnsi="Times New Roman" w:cs="Times New Roman"/>
        </w:rPr>
        <w:t xml:space="preserve">. </w:t>
      </w:r>
      <w:r w:rsidR="000D13AD">
        <w:rPr>
          <w:rFonts w:ascii="Times New Roman" w:hAnsi="Times New Roman" w:cs="Times New Roman"/>
        </w:rPr>
        <w:t>New York: Cambridge University Press.</w:t>
      </w:r>
    </w:p>
    <w:p w14:paraId="7B44750D" w14:textId="77777777" w:rsidR="000546C4" w:rsidRDefault="000546C4" w:rsidP="00F748ED">
      <w:pPr>
        <w:rPr>
          <w:rFonts w:ascii="Times New Roman" w:hAnsi="Times New Roman" w:cs="Times New Roman"/>
        </w:rPr>
      </w:pPr>
    </w:p>
    <w:p w14:paraId="5C53419F" w14:textId="74338CD4" w:rsidR="00FB2468" w:rsidRPr="00FB2468" w:rsidRDefault="00FB2468" w:rsidP="00F748ED">
      <w:pPr>
        <w:rPr>
          <w:rFonts w:ascii="Times New Roman" w:hAnsi="Times New Roman" w:cs="Times New Roman"/>
        </w:rPr>
      </w:pPr>
      <w:r>
        <w:rPr>
          <w:rFonts w:ascii="Times New Roman" w:hAnsi="Times New Roman" w:cs="Times New Roman"/>
        </w:rPr>
        <w:t xml:space="preserve">Luoma, Patrice, and Jerry Goodstein. 1999. “Stakeholders and corporate boards: institutional influences on board composition and structure.” </w:t>
      </w:r>
      <w:r>
        <w:rPr>
          <w:rFonts w:ascii="Times New Roman" w:hAnsi="Times New Roman" w:cs="Times New Roman"/>
          <w:i/>
        </w:rPr>
        <w:t>The Academy of Management Journal</w:t>
      </w:r>
      <w:r>
        <w:rPr>
          <w:rFonts w:ascii="Times New Roman" w:hAnsi="Times New Roman" w:cs="Times New Roman"/>
        </w:rPr>
        <w:t xml:space="preserve"> 42(5): 553 – 563.</w:t>
      </w:r>
    </w:p>
    <w:p w14:paraId="6F7BF5DC" w14:textId="77777777" w:rsidR="000D13AD" w:rsidRDefault="000D13AD" w:rsidP="000D13AD">
      <w:pPr>
        <w:rPr>
          <w:rFonts w:ascii="Times New Roman" w:hAnsi="Times New Roman" w:cs="Times New Roman"/>
        </w:rPr>
      </w:pPr>
    </w:p>
    <w:p w14:paraId="4464F0F0" w14:textId="0193EE7D" w:rsidR="000D13AD" w:rsidRDefault="000D13AD" w:rsidP="000D13AD">
      <w:pPr>
        <w:rPr>
          <w:rFonts w:ascii="Times New Roman" w:hAnsi="Times New Roman" w:cs="Times New Roman"/>
        </w:rPr>
      </w:pPr>
      <w:r>
        <w:rPr>
          <w:rFonts w:ascii="Times New Roman" w:hAnsi="Times New Roman" w:cs="Times New Roman"/>
        </w:rPr>
        <w:t xml:space="preserve">McCarty, Nolan. 2014. “Complexity, Capacity, and Capture,” in </w:t>
      </w:r>
      <w:r>
        <w:rPr>
          <w:rFonts w:ascii="Times New Roman" w:hAnsi="Times New Roman" w:cs="Times New Roman"/>
          <w:i/>
        </w:rPr>
        <w:t>Preventing regulatory capture</w:t>
      </w:r>
      <w:r>
        <w:rPr>
          <w:rFonts w:ascii="Times New Roman" w:hAnsi="Times New Roman" w:cs="Times New Roman"/>
        </w:rPr>
        <w:t>, edited by Daniel Carpenter and David Moss, pages 99 through 123. New York: Cambridge University Press.</w:t>
      </w:r>
    </w:p>
    <w:p w14:paraId="01094FDA" w14:textId="77777777" w:rsidR="00FB2468" w:rsidRDefault="00FB2468" w:rsidP="00F748ED">
      <w:pPr>
        <w:rPr>
          <w:rFonts w:ascii="Times New Roman" w:hAnsi="Times New Roman" w:cs="Times New Roman"/>
        </w:rPr>
      </w:pPr>
    </w:p>
    <w:p w14:paraId="1A6E440E" w14:textId="6813E5BF" w:rsidR="00231CA5" w:rsidRPr="00231CA5" w:rsidRDefault="00231CA5" w:rsidP="00F748ED">
      <w:pPr>
        <w:rPr>
          <w:rFonts w:ascii="Times New Roman" w:hAnsi="Times New Roman" w:cs="Times New Roman"/>
        </w:rPr>
      </w:pPr>
      <w:r>
        <w:rPr>
          <w:rFonts w:ascii="Times New Roman" w:hAnsi="Times New Roman" w:cs="Times New Roman"/>
        </w:rPr>
        <w:t xml:space="preserve">Mizruchi, Mark. 1996. “What do interlocks do? An analysis, critique, and assessment of research on interlocking directorates.” </w:t>
      </w:r>
      <w:r>
        <w:rPr>
          <w:rFonts w:ascii="Times New Roman" w:hAnsi="Times New Roman" w:cs="Times New Roman"/>
          <w:i/>
        </w:rPr>
        <w:t>Annual Review of Sociology</w:t>
      </w:r>
      <w:r>
        <w:rPr>
          <w:rFonts w:ascii="Times New Roman" w:hAnsi="Times New Roman" w:cs="Times New Roman"/>
        </w:rPr>
        <w:t xml:space="preserve"> 22: 271 – 298.</w:t>
      </w:r>
    </w:p>
    <w:p w14:paraId="133598FE" w14:textId="77777777" w:rsidR="00231CA5" w:rsidRDefault="00231CA5" w:rsidP="00F748ED">
      <w:pPr>
        <w:rPr>
          <w:rFonts w:ascii="Times New Roman" w:hAnsi="Times New Roman" w:cs="Times New Roman"/>
        </w:rPr>
      </w:pPr>
    </w:p>
    <w:p w14:paraId="60E31EB9" w14:textId="50FD30C5" w:rsidR="00EE0509" w:rsidRPr="00EE0509" w:rsidRDefault="00EE0509" w:rsidP="00F748ED">
      <w:pPr>
        <w:rPr>
          <w:rFonts w:ascii="Times New Roman" w:hAnsi="Times New Roman" w:cs="Times New Roman"/>
        </w:rPr>
      </w:pPr>
      <w:r>
        <w:rPr>
          <w:rFonts w:ascii="Times New Roman" w:hAnsi="Times New Roman" w:cs="Times New Roman"/>
        </w:rPr>
        <w:t xml:space="preserve">Niessen, Alexandra, and Stefan Ruenzi. 2009. “Political Connectedness and firm performance: evidence from Germany.” </w:t>
      </w:r>
      <w:r>
        <w:rPr>
          <w:rFonts w:ascii="Times New Roman" w:hAnsi="Times New Roman" w:cs="Times New Roman"/>
          <w:i/>
        </w:rPr>
        <w:t>CFR Working Paper No. 07-15</w:t>
      </w:r>
      <w:r>
        <w:rPr>
          <w:rFonts w:ascii="Times New Roman" w:hAnsi="Times New Roman" w:cs="Times New Roman"/>
        </w:rPr>
        <w:t>.</w:t>
      </w:r>
    </w:p>
    <w:p w14:paraId="041E8E8E" w14:textId="77777777" w:rsidR="00EE0509" w:rsidRDefault="00EE0509" w:rsidP="00F748ED">
      <w:pPr>
        <w:rPr>
          <w:rFonts w:ascii="Times New Roman" w:hAnsi="Times New Roman" w:cs="Times New Roman"/>
        </w:rPr>
      </w:pPr>
    </w:p>
    <w:p w14:paraId="7F546556" w14:textId="49CC0EF9" w:rsidR="00923D1A" w:rsidRPr="00923D1A" w:rsidRDefault="00923D1A" w:rsidP="00923D1A">
      <w:pPr>
        <w:rPr>
          <w:rFonts w:ascii="Times New Roman" w:eastAsia="Times New Roman" w:hAnsi="Times New Roman" w:cs="Times New Roman"/>
        </w:rPr>
      </w:pPr>
      <w:r w:rsidRPr="00923D1A">
        <w:rPr>
          <w:rFonts w:ascii="Times New Roman" w:eastAsia="Times New Roman" w:hAnsi="Times New Roman" w:cs="Times New Roman"/>
        </w:rPr>
        <w:lastRenderedPageBreak/>
        <w:t xml:space="preserve">Olson, M., </w:t>
      </w:r>
      <w:r w:rsidR="004974D7">
        <w:rPr>
          <w:rFonts w:ascii="Times New Roman" w:eastAsia="Times New Roman" w:hAnsi="Times New Roman" w:cs="Times New Roman"/>
        </w:rPr>
        <w:t>1982</w:t>
      </w:r>
      <w:r w:rsidRPr="00923D1A">
        <w:rPr>
          <w:rFonts w:ascii="Times New Roman" w:eastAsia="Times New Roman" w:hAnsi="Times New Roman" w:cs="Times New Roman"/>
        </w:rPr>
        <w:t xml:space="preserve">. </w:t>
      </w:r>
      <w:r w:rsidRPr="00923D1A">
        <w:rPr>
          <w:rFonts w:ascii="Times New Roman" w:eastAsia="Times New Roman" w:hAnsi="Times New Roman" w:cs="Times New Roman"/>
          <w:i/>
          <w:iCs/>
        </w:rPr>
        <w:t>The rise and decline of nations: Economic growth, stagflation, and social rigidities</w:t>
      </w:r>
      <w:r w:rsidRPr="00923D1A">
        <w:rPr>
          <w:rFonts w:ascii="Times New Roman" w:eastAsia="Times New Roman" w:hAnsi="Times New Roman" w:cs="Times New Roman"/>
        </w:rPr>
        <w:t>. Yale University Press.</w:t>
      </w:r>
    </w:p>
    <w:p w14:paraId="6A72C85B" w14:textId="507D3468" w:rsidR="00F748ED" w:rsidRDefault="00F748ED" w:rsidP="00F748ED">
      <w:pPr>
        <w:rPr>
          <w:rFonts w:ascii="Times New Roman" w:eastAsia="Times New Roman" w:hAnsi="Times New Roman" w:cs="Times New Roman"/>
        </w:rPr>
      </w:pPr>
    </w:p>
    <w:p w14:paraId="3DABC114" w14:textId="77777777" w:rsidR="003B21D1" w:rsidRDefault="003B21D1" w:rsidP="003B21D1">
      <w:pPr>
        <w:rPr>
          <w:rFonts w:ascii="Times New Roman" w:eastAsia="Times New Roman" w:hAnsi="Times New Roman" w:cs="Times New Roman"/>
        </w:rPr>
      </w:pPr>
      <w:r w:rsidRPr="003B21D1">
        <w:rPr>
          <w:rFonts w:ascii="Times New Roman" w:eastAsia="Times New Roman" w:hAnsi="Times New Roman" w:cs="Times New Roman"/>
        </w:rPr>
        <w:t xml:space="preserve">Olson, M. and Zeckhauser, R., 1966. An economic theory of alliances. </w:t>
      </w:r>
      <w:r w:rsidRPr="003B21D1">
        <w:rPr>
          <w:rFonts w:ascii="Times New Roman" w:eastAsia="Times New Roman" w:hAnsi="Times New Roman" w:cs="Times New Roman"/>
          <w:i/>
          <w:iCs/>
        </w:rPr>
        <w:t>The review of economics and statistics</w:t>
      </w:r>
      <w:r w:rsidRPr="003B21D1">
        <w:rPr>
          <w:rFonts w:ascii="Times New Roman" w:eastAsia="Times New Roman" w:hAnsi="Times New Roman" w:cs="Times New Roman"/>
        </w:rPr>
        <w:t>, pp.266-279.</w:t>
      </w:r>
    </w:p>
    <w:p w14:paraId="012F15B2" w14:textId="77777777" w:rsidR="0014025E" w:rsidRDefault="0014025E" w:rsidP="003B21D1">
      <w:pPr>
        <w:rPr>
          <w:rFonts w:ascii="Times New Roman" w:eastAsia="Times New Roman" w:hAnsi="Times New Roman" w:cs="Times New Roman"/>
        </w:rPr>
      </w:pPr>
    </w:p>
    <w:p w14:paraId="70412156" w14:textId="0A8F49BA" w:rsidR="00C651E8" w:rsidRPr="00C651E8" w:rsidRDefault="00C651E8" w:rsidP="003B21D1">
      <w:pPr>
        <w:rPr>
          <w:rFonts w:ascii="Times New Roman" w:eastAsia="Times New Roman" w:hAnsi="Times New Roman" w:cs="Times New Roman"/>
        </w:rPr>
      </w:pPr>
      <w:r>
        <w:rPr>
          <w:rFonts w:ascii="Times New Roman" w:eastAsia="Times New Roman" w:hAnsi="Times New Roman" w:cs="Times New Roman"/>
        </w:rPr>
        <w:t xml:space="preserve">O’Toole, Fintan. 2010. </w:t>
      </w:r>
      <w:r>
        <w:rPr>
          <w:rFonts w:ascii="Times New Roman" w:eastAsia="Times New Roman" w:hAnsi="Times New Roman" w:cs="Times New Roman"/>
          <w:i/>
        </w:rPr>
        <w:t>Ship of Fools: How Stupidity and Corruption Sank the Celtic Tiger.</w:t>
      </w:r>
      <w:r>
        <w:rPr>
          <w:rFonts w:ascii="Times New Roman" w:eastAsia="Times New Roman" w:hAnsi="Times New Roman" w:cs="Times New Roman"/>
        </w:rPr>
        <w:t xml:space="preserve"> New York: Public Affairs.</w:t>
      </w:r>
    </w:p>
    <w:p w14:paraId="0DA8C2A0" w14:textId="77777777" w:rsidR="00C651E8" w:rsidRDefault="00C651E8" w:rsidP="003B21D1">
      <w:pPr>
        <w:rPr>
          <w:rFonts w:ascii="Times New Roman" w:eastAsia="Times New Roman" w:hAnsi="Times New Roman" w:cs="Times New Roman"/>
        </w:rPr>
      </w:pPr>
    </w:p>
    <w:p w14:paraId="26FFC89A" w14:textId="54E3189C" w:rsidR="00F03E64" w:rsidRPr="00F03E64" w:rsidRDefault="00F03E64" w:rsidP="003B21D1">
      <w:pPr>
        <w:rPr>
          <w:rFonts w:ascii="Times New Roman" w:eastAsia="Times New Roman" w:hAnsi="Times New Roman" w:cs="Times New Roman"/>
        </w:rPr>
      </w:pPr>
      <w:r>
        <w:rPr>
          <w:rFonts w:ascii="Times New Roman" w:eastAsia="Times New Roman" w:hAnsi="Times New Roman" w:cs="Times New Roman"/>
        </w:rPr>
        <w:t xml:space="preserve">Phan, Phillip H., Soo Hoon Lee, and Siang Chi Lau. 2003. “The performance impact of interlocking directorates: The case of Singapore.” </w:t>
      </w:r>
      <w:r>
        <w:rPr>
          <w:rFonts w:ascii="Times New Roman" w:eastAsia="Times New Roman" w:hAnsi="Times New Roman" w:cs="Times New Roman"/>
          <w:i/>
        </w:rPr>
        <w:t>Journal of Managerial Issues</w:t>
      </w:r>
      <w:r>
        <w:rPr>
          <w:rFonts w:ascii="Times New Roman" w:eastAsia="Times New Roman" w:hAnsi="Times New Roman" w:cs="Times New Roman"/>
        </w:rPr>
        <w:t xml:space="preserve"> 15(3): 338 – 352.</w:t>
      </w:r>
    </w:p>
    <w:p w14:paraId="3DBF964F" w14:textId="77777777" w:rsidR="00F03E64" w:rsidRDefault="00F03E64" w:rsidP="003B21D1">
      <w:pPr>
        <w:rPr>
          <w:rFonts w:ascii="Times New Roman" w:eastAsia="Times New Roman" w:hAnsi="Times New Roman" w:cs="Times New Roman"/>
        </w:rPr>
      </w:pPr>
    </w:p>
    <w:p w14:paraId="1D020A27" w14:textId="30BA722F" w:rsidR="007C01D0" w:rsidRPr="00314C6A" w:rsidRDefault="007C01D0" w:rsidP="003B21D1">
      <w:pPr>
        <w:rPr>
          <w:rFonts w:ascii="Times New Roman" w:eastAsia="Times New Roman" w:hAnsi="Times New Roman" w:cs="Times New Roman"/>
        </w:rPr>
      </w:pPr>
      <w:r>
        <w:rPr>
          <w:rFonts w:ascii="Times New Roman" w:eastAsia="Times New Roman" w:hAnsi="Times New Roman" w:cs="Times New Roman"/>
        </w:rPr>
        <w:t>Pusser, Brian; Sheila Slaughter, and Scott Thomas. 2006. “Playing the board game</w:t>
      </w:r>
      <w:r w:rsidR="00314C6A">
        <w:rPr>
          <w:rFonts w:ascii="Times New Roman" w:eastAsia="Times New Roman" w:hAnsi="Times New Roman" w:cs="Times New Roman"/>
        </w:rPr>
        <w:t xml:space="preserve">: An empirical analysis of University Trustee and Corporate Board Interlocks.” </w:t>
      </w:r>
      <w:r w:rsidR="00314C6A">
        <w:rPr>
          <w:rFonts w:ascii="Times New Roman" w:eastAsia="Times New Roman" w:hAnsi="Times New Roman" w:cs="Times New Roman"/>
          <w:i/>
        </w:rPr>
        <w:t>The Journal of Higher Education</w:t>
      </w:r>
      <w:r w:rsidR="00314C6A">
        <w:rPr>
          <w:rFonts w:ascii="Times New Roman" w:eastAsia="Times New Roman" w:hAnsi="Times New Roman" w:cs="Times New Roman"/>
        </w:rPr>
        <w:t xml:space="preserve"> 77(5): 745 – 775.</w:t>
      </w:r>
    </w:p>
    <w:p w14:paraId="724C3822" w14:textId="77777777" w:rsidR="007C01D0" w:rsidRDefault="007C01D0" w:rsidP="003B21D1">
      <w:pPr>
        <w:rPr>
          <w:rFonts w:ascii="Times New Roman" w:eastAsia="Times New Roman" w:hAnsi="Times New Roman" w:cs="Times New Roman"/>
        </w:rPr>
      </w:pPr>
    </w:p>
    <w:p w14:paraId="1F19F7AC" w14:textId="6CD2AFC0" w:rsidR="00D16E5F" w:rsidRPr="00D521B6" w:rsidRDefault="00D16E5F" w:rsidP="003B21D1">
      <w:pPr>
        <w:rPr>
          <w:rFonts w:ascii="Times New Roman" w:eastAsia="Times New Roman" w:hAnsi="Times New Roman" w:cs="Times New Roman"/>
        </w:rPr>
      </w:pPr>
      <w:r>
        <w:rPr>
          <w:rFonts w:ascii="Times New Roman" w:eastAsia="Times New Roman" w:hAnsi="Times New Roman" w:cs="Times New Roman"/>
        </w:rPr>
        <w:t>Santos, Rafael</w:t>
      </w:r>
      <w:r w:rsidR="00D521B6">
        <w:rPr>
          <w:rFonts w:ascii="Times New Roman" w:eastAsia="Times New Roman" w:hAnsi="Times New Roman" w:cs="Times New Roman"/>
        </w:rPr>
        <w:t xml:space="preserve"> Liza, Alexandre di Miceli da Silveira, and Lucas Ayres Barros. 2012. “Board interlocking in Brazil: Directors’ participation in multiple companies and its effects on firm value and profitability.” </w:t>
      </w:r>
      <w:r w:rsidR="00D521B6">
        <w:rPr>
          <w:rFonts w:ascii="Times New Roman" w:eastAsia="Times New Roman" w:hAnsi="Times New Roman" w:cs="Times New Roman"/>
          <w:i/>
        </w:rPr>
        <w:t>Latin American Business Review</w:t>
      </w:r>
      <w:r w:rsidR="00D521B6">
        <w:rPr>
          <w:rFonts w:ascii="Times New Roman" w:eastAsia="Times New Roman" w:hAnsi="Times New Roman" w:cs="Times New Roman"/>
        </w:rPr>
        <w:t xml:space="preserve"> 13(1): 1 – 28. </w:t>
      </w:r>
    </w:p>
    <w:p w14:paraId="423F412D" w14:textId="77777777" w:rsidR="00D16E5F" w:rsidRDefault="00D16E5F" w:rsidP="003B21D1">
      <w:pPr>
        <w:rPr>
          <w:rFonts w:ascii="Times New Roman" w:eastAsia="Times New Roman" w:hAnsi="Times New Roman" w:cs="Times New Roman"/>
        </w:rPr>
      </w:pPr>
    </w:p>
    <w:p w14:paraId="06601034" w14:textId="30416834" w:rsidR="0014025E" w:rsidRDefault="0014025E" w:rsidP="003B21D1">
      <w:pPr>
        <w:rPr>
          <w:rFonts w:ascii="Times New Roman" w:eastAsia="Times New Roman" w:hAnsi="Times New Roman" w:cs="Times New Roman"/>
        </w:rPr>
      </w:pPr>
      <w:r>
        <w:rPr>
          <w:rFonts w:ascii="Times New Roman" w:hAnsi="Times New Roman" w:cs="Times New Roman"/>
        </w:rPr>
        <w:t>Stigler, George. 1971</w:t>
      </w:r>
      <w:r w:rsidRPr="00F748ED">
        <w:rPr>
          <w:rFonts w:ascii="Times New Roman" w:eastAsia="Times New Roman" w:hAnsi="Times New Roman" w:cs="Times New Roman"/>
        </w:rPr>
        <w:t xml:space="preserve">. The theory of economic regulation. </w:t>
      </w:r>
      <w:r w:rsidRPr="00F748ED">
        <w:rPr>
          <w:rFonts w:ascii="Times New Roman" w:eastAsia="Times New Roman" w:hAnsi="Times New Roman" w:cs="Times New Roman"/>
          <w:i/>
          <w:iCs/>
        </w:rPr>
        <w:t>The Bell journal of economics and management science</w:t>
      </w:r>
      <w:r>
        <w:rPr>
          <w:rFonts w:ascii="Times New Roman" w:eastAsia="Times New Roman" w:hAnsi="Times New Roman" w:cs="Times New Roman"/>
        </w:rPr>
        <w:t xml:space="preserve"> 1:</w:t>
      </w:r>
      <w:r w:rsidRPr="00F748ED">
        <w:rPr>
          <w:rFonts w:ascii="Times New Roman" w:eastAsia="Times New Roman" w:hAnsi="Times New Roman" w:cs="Times New Roman"/>
        </w:rPr>
        <w:t>3-21.</w:t>
      </w:r>
    </w:p>
    <w:p w14:paraId="12EB584D" w14:textId="77777777" w:rsidR="006A6397" w:rsidRDefault="006A6397" w:rsidP="003B21D1">
      <w:pPr>
        <w:rPr>
          <w:rFonts w:ascii="Times New Roman" w:eastAsia="Times New Roman" w:hAnsi="Times New Roman" w:cs="Times New Roman"/>
        </w:rPr>
      </w:pPr>
    </w:p>
    <w:p w14:paraId="69A74AE0" w14:textId="3445E414" w:rsidR="006A6397" w:rsidRPr="006A6397" w:rsidRDefault="006A6397" w:rsidP="003B21D1">
      <w:pPr>
        <w:rPr>
          <w:rFonts w:ascii="Times New Roman" w:eastAsia="Times New Roman" w:hAnsi="Times New Roman" w:cs="Times New Roman"/>
        </w:rPr>
      </w:pPr>
      <w:r>
        <w:rPr>
          <w:rFonts w:ascii="Times New Roman" w:eastAsia="Times New Roman" w:hAnsi="Times New Roman" w:cs="Times New Roman"/>
        </w:rPr>
        <w:t>Useem, M</w:t>
      </w:r>
      <w:r w:rsidR="008357F7">
        <w:rPr>
          <w:rFonts w:ascii="Times New Roman" w:eastAsia="Times New Roman" w:hAnsi="Times New Roman" w:cs="Times New Roman"/>
        </w:rPr>
        <w:t>ichael. 1986</w:t>
      </w:r>
      <w:r>
        <w:rPr>
          <w:rFonts w:ascii="Times New Roman" w:eastAsia="Times New Roman" w:hAnsi="Times New Roman" w:cs="Times New Roman"/>
        </w:rPr>
        <w:t xml:space="preserve">. </w:t>
      </w:r>
      <w:r>
        <w:rPr>
          <w:rFonts w:ascii="Times New Roman" w:eastAsia="Times New Roman" w:hAnsi="Times New Roman" w:cs="Times New Roman"/>
          <w:i/>
        </w:rPr>
        <w:t>The Inner Circle: Large Corporations and the Rise of Business Political Activity</w:t>
      </w:r>
      <w:r>
        <w:rPr>
          <w:rFonts w:ascii="Times New Roman" w:eastAsia="Times New Roman" w:hAnsi="Times New Roman" w:cs="Times New Roman"/>
        </w:rPr>
        <w:t>. New York: Oxford University Press.</w:t>
      </w:r>
    </w:p>
    <w:p w14:paraId="0165F165" w14:textId="77777777" w:rsidR="003B21D1" w:rsidRDefault="003B21D1" w:rsidP="00F748ED">
      <w:pPr>
        <w:rPr>
          <w:rFonts w:ascii="Times New Roman" w:hAnsi="Times New Roman" w:cs="Times New Roman"/>
        </w:rPr>
      </w:pPr>
    </w:p>
    <w:p w14:paraId="41B17047" w14:textId="4C13B9DA" w:rsidR="00DD5DC7" w:rsidRDefault="00DD5DC7" w:rsidP="00F748ED">
      <w:pPr>
        <w:rPr>
          <w:rFonts w:ascii="Times New Roman" w:hAnsi="Times New Roman" w:cs="Times New Roman"/>
        </w:rPr>
      </w:pPr>
      <w:r>
        <w:rPr>
          <w:rFonts w:ascii="Times New Roman" w:hAnsi="Times New Roman" w:cs="Times New Roman"/>
        </w:rPr>
        <w:t xml:space="preserve">Van Veen, Keese, and Ilse Marsman. 2008. “How international are executive boards at European MNCs? Nationality diversity in 15 European countries.” </w:t>
      </w:r>
      <w:r w:rsidR="00D03A47">
        <w:rPr>
          <w:rFonts w:ascii="Times New Roman" w:hAnsi="Times New Roman" w:cs="Times New Roman"/>
          <w:i/>
        </w:rPr>
        <w:t>European Management Journal</w:t>
      </w:r>
      <w:r w:rsidR="00D03A47">
        <w:rPr>
          <w:rFonts w:ascii="Times New Roman" w:hAnsi="Times New Roman" w:cs="Times New Roman"/>
        </w:rPr>
        <w:t xml:space="preserve"> 26: 188 – 198. </w:t>
      </w:r>
    </w:p>
    <w:p w14:paraId="169F7919" w14:textId="77777777" w:rsidR="00D03A47" w:rsidRDefault="00D03A47" w:rsidP="00F748ED">
      <w:pPr>
        <w:rPr>
          <w:rFonts w:ascii="Times New Roman" w:hAnsi="Times New Roman" w:cs="Times New Roman"/>
        </w:rPr>
      </w:pPr>
    </w:p>
    <w:p w14:paraId="2626DE44" w14:textId="4804A3A5" w:rsidR="00B57F12" w:rsidRDefault="00B57F12" w:rsidP="00F748ED">
      <w:pPr>
        <w:rPr>
          <w:rFonts w:ascii="Times New Roman" w:hAnsi="Times New Roman" w:cs="Times New Roman"/>
        </w:rPr>
      </w:pPr>
      <w:r>
        <w:rPr>
          <w:rFonts w:ascii="Times New Roman" w:hAnsi="Times New Roman" w:cs="Times New Roman"/>
        </w:rPr>
        <w:t xml:space="preserve">Zahra, Shaker, and James A Pearce III. 1989. “Boards of directors and corporate financial performance: A review and interactive model.” </w:t>
      </w:r>
      <w:r>
        <w:rPr>
          <w:rFonts w:ascii="Times New Roman" w:hAnsi="Times New Roman" w:cs="Times New Roman"/>
          <w:i/>
        </w:rPr>
        <w:t>Journal of Management</w:t>
      </w:r>
      <w:r>
        <w:rPr>
          <w:rFonts w:ascii="Times New Roman" w:hAnsi="Times New Roman" w:cs="Times New Roman"/>
        </w:rPr>
        <w:t xml:space="preserve"> 15(2): 291 – 334. </w:t>
      </w:r>
    </w:p>
    <w:p w14:paraId="3C299E43" w14:textId="77777777" w:rsidR="00B57F12" w:rsidRDefault="00B57F12" w:rsidP="00F748ED">
      <w:pPr>
        <w:rPr>
          <w:rFonts w:ascii="Times New Roman" w:hAnsi="Times New Roman" w:cs="Times New Roman"/>
        </w:rPr>
      </w:pPr>
    </w:p>
    <w:p w14:paraId="7EF57471" w14:textId="3FADC194" w:rsidR="00D03A47" w:rsidRDefault="00D03A47" w:rsidP="00F748ED">
      <w:pPr>
        <w:rPr>
          <w:rFonts w:ascii="Times New Roman" w:hAnsi="Times New Roman" w:cs="Times New Roman"/>
        </w:rPr>
      </w:pPr>
      <w:r>
        <w:rPr>
          <w:rFonts w:ascii="Times New Roman" w:hAnsi="Times New Roman" w:cs="Times New Roman"/>
        </w:rPr>
        <w:t>Zingales, Luigi. 2014. “</w:t>
      </w:r>
      <w:r w:rsidR="000D13AD">
        <w:rPr>
          <w:rFonts w:ascii="Times New Roman" w:hAnsi="Times New Roman" w:cs="Times New Roman"/>
        </w:rPr>
        <w:t>Preventing Economists’ Capture</w:t>
      </w:r>
      <w:r>
        <w:rPr>
          <w:rFonts w:ascii="Times New Roman" w:hAnsi="Times New Roman" w:cs="Times New Roman"/>
        </w:rPr>
        <w:t xml:space="preserve">,” in </w:t>
      </w:r>
      <w:r>
        <w:rPr>
          <w:rFonts w:ascii="Times New Roman" w:hAnsi="Times New Roman" w:cs="Times New Roman"/>
          <w:i/>
        </w:rPr>
        <w:t>Preventing regulatory capture</w:t>
      </w:r>
      <w:r>
        <w:rPr>
          <w:rFonts w:ascii="Times New Roman" w:hAnsi="Times New Roman" w:cs="Times New Roman"/>
        </w:rPr>
        <w:t xml:space="preserve">, edited by </w:t>
      </w:r>
      <w:r w:rsidR="000D13AD">
        <w:rPr>
          <w:rFonts w:ascii="Times New Roman" w:hAnsi="Times New Roman" w:cs="Times New Roman"/>
        </w:rPr>
        <w:t xml:space="preserve">Daniel </w:t>
      </w:r>
      <w:r>
        <w:rPr>
          <w:rFonts w:ascii="Times New Roman" w:hAnsi="Times New Roman" w:cs="Times New Roman"/>
        </w:rPr>
        <w:t xml:space="preserve">Carpenter and </w:t>
      </w:r>
      <w:r w:rsidR="000D13AD">
        <w:rPr>
          <w:rFonts w:ascii="Times New Roman" w:hAnsi="Times New Roman" w:cs="Times New Roman"/>
        </w:rPr>
        <w:t xml:space="preserve">David </w:t>
      </w:r>
      <w:r>
        <w:rPr>
          <w:rFonts w:ascii="Times New Roman" w:hAnsi="Times New Roman" w:cs="Times New Roman"/>
        </w:rPr>
        <w:t xml:space="preserve">Moss, pages </w:t>
      </w:r>
      <w:r w:rsidR="000D13AD">
        <w:rPr>
          <w:rFonts w:ascii="Times New Roman" w:hAnsi="Times New Roman" w:cs="Times New Roman"/>
        </w:rPr>
        <w:t>124</w:t>
      </w:r>
      <w:r>
        <w:rPr>
          <w:rFonts w:ascii="Times New Roman" w:hAnsi="Times New Roman" w:cs="Times New Roman"/>
        </w:rPr>
        <w:t xml:space="preserve"> through </w:t>
      </w:r>
      <w:r w:rsidR="000D13AD">
        <w:rPr>
          <w:rFonts w:ascii="Times New Roman" w:hAnsi="Times New Roman" w:cs="Times New Roman"/>
        </w:rPr>
        <w:t>150</w:t>
      </w:r>
      <w:r>
        <w:rPr>
          <w:rFonts w:ascii="Times New Roman" w:hAnsi="Times New Roman" w:cs="Times New Roman"/>
        </w:rPr>
        <w:t xml:space="preserve">. </w:t>
      </w:r>
      <w:r w:rsidR="000D13AD">
        <w:rPr>
          <w:rFonts w:ascii="Times New Roman" w:hAnsi="Times New Roman" w:cs="Times New Roman"/>
        </w:rPr>
        <w:t>New York: Cambridge University Press.</w:t>
      </w:r>
    </w:p>
    <w:p w14:paraId="65D7A3E8" w14:textId="77777777" w:rsidR="002A00D0" w:rsidRDefault="002A00D0" w:rsidP="00F748ED">
      <w:pPr>
        <w:rPr>
          <w:rFonts w:ascii="Times New Roman" w:hAnsi="Times New Roman" w:cs="Times New Roman"/>
        </w:rPr>
      </w:pPr>
    </w:p>
    <w:p w14:paraId="1CB7E6BB" w14:textId="561B6501" w:rsidR="002A00D0" w:rsidRDefault="002A00D0">
      <w:pPr>
        <w:rPr>
          <w:rFonts w:ascii="Times New Roman" w:hAnsi="Times New Roman" w:cs="Times New Roman"/>
        </w:rPr>
      </w:pPr>
      <w:r>
        <w:rPr>
          <w:rFonts w:ascii="Times New Roman" w:hAnsi="Times New Roman" w:cs="Times New Roman"/>
        </w:rPr>
        <w:br w:type="page"/>
      </w:r>
    </w:p>
    <w:p w14:paraId="73FEC5BB" w14:textId="0FF48621" w:rsidR="002A00D0" w:rsidRDefault="002A00D0" w:rsidP="00F748ED">
      <w:pPr>
        <w:rPr>
          <w:rFonts w:ascii="Times New Roman" w:hAnsi="Times New Roman" w:cs="Times New Roman"/>
        </w:rPr>
      </w:pPr>
      <w:r>
        <w:rPr>
          <w:rFonts w:ascii="Times New Roman" w:hAnsi="Times New Roman" w:cs="Times New Roman"/>
        </w:rPr>
        <w:lastRenderedPageBreak/>
        <w:t>Data Appendix:</w:t>
      </w:r>
    </w:p>
    <w:p w14:paraId="32CA68BF" w14:textId="77777777" w:rsidR="002A00D0" w:rsidRDefault="002A00D0" w:rsidP="00F748ED">
      <w:pPr>
        <w:rPr>
          <w:rFonts w:ascii="Times New Roman" w:hAnsi="Times New Roman" w:cs="Times New Roman"/>
        </w:rPr>
      </w:pPr>
    </w:p>
    <w:p w14:paraId="1A21292D" w14:textId="7004D870" w:rsidR="002A00D0" w:rsidRPr="002A00D0" w:rsidRDefault="002A00D0" w:rsidP="002A00D0">
      <w:pPr>
        <w:pStyle w:val="ListParagraph"/>
        <w:numPr>
          <w:ilvl w:val="0"/>
          <w:numId w:val="3"/>
        </w:numPr>
        <w:rPr>
          <w:rFonts w:ascii="Times New Roman" w:hAnsi="Times New Roman" w:cs="Times New Roman"/>
        </w:rPr>
      </w:pPr>
      <w:r w:rsidRPr="002A00D0">
        <w:rPr>
          <w:rFonts w:ascii="Times New Roman" w:hAnsi="Times New Roman" w:cs="Times New Roman"/>
        </w:rPr>
        <w:t>List of firms under analysis:</w:t>
      </w:r>
    </w:p>
    <w:p w14:paraId="05356942" w14:textId="77777777" w:rsidR="002A00D0" w:rsidRDefault="002A00D0" w:rsidP="00F748ED">
      <w:pPr>
        <w:rPr>
          <w:rFonts w:ascii="Times New Roman" w:hAnsi="Times New Roman" w:cs="Times New Roman"/>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78"/>
      </w:tblGrid>
      <w:tr w:rsidR="002A00D0" w14:paraId="14A7CE08" w14:textId="77777777" w:rsidTr="002A00D0">
        <w:tblPrEx>
          <w:tblCellMar>
            <w:top w:w="0" w:type="dxa"/>
            <w:bottom w:w="0" w:type="dxa"/>
          </w:tblCellMar>
        </w:tblPrEx>
        <w:tc>
          <w:tcPr>
            <w:tcW w:w="4878" w:type="dxa"/>
          </w:tcPr>
          <w:tbl>
            <w:tblPr>
              <w:tblW w:w="4662" w:type="dxa"/>
              <w:tblLook w:val="04A0" w:firstRow="1" w:lastRow="0" w:firstColumn="1" w:lastColumn="0" w:noHBand="0" w:noVBand="1"/>
            </w:tblPr>
            <w:tblGrid>
              <w:gridCol w:w="1300"/>
              <w:gridCol w:w="3362"/>
            </w:tblGrid>
            <w:tr w:rsidR="002A00D0" w:rsidRPr="002A00D0" w14:paraId="3B478312" w14:textId="77777777" w:rsidTr="001D448B">
              <w:trPr>
                <w:trHeight w:val="320"/>
              </w:trPr>
              <w:tc>
                <w:tcPr>
                  <w:tcW w:w="1300" w:type="dxa"/>
                  <w:tcBorders>
                    <w:top w:val="nil"/>
                    <w:left w:val="nil"/>
                    <w:bottom w:val="nil"/>
                    <w:right w:val="nil"/>
                  </w:tcBorders>
                  <w:shd w:val="clear" w:color="auto" w:fill="auto"/>
                  <w:noWrap/>
                  <w:vAlign w:val="bottom"/>
                  <w:hideMark/>
                </w:tcPr>
                <w:p w14:paraId="54C387EA"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Id</w:t>
                  </w:r>
                </w:p>
              </w:tc>
              <w:tc>
                <w:tcPr>
                  <w:tcW w:w="3362" w:type="dxa"/>
                  <w:tcBorders>
                    <w:top w:val="nil"/>
                    <w:left w:val="nil"/>
                    <w:bottom w:val="nil"/>
                    <w:right w:val="nil"/>
                  </w:tcBorders>
                  <w:shd w:val="clear" w:color="auto" w:fill="auto"/>
                  <w:noWrap/>
                  <w:vAlign w:val="bottom"/>
                  <w:hideMark/>
                </w:tcPr>
                <w:p w14:paraId="6C4201AF"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Label</w:t>
                  </w:r>
                </w:p>
              </w:tc>
            </w:tr>
            <w:tr w:rsidR="002A00D0" w:rsidRPr="002A00D0" w14:paraId="22FD4029" w14:textId="77777777" w:rsidTr="001D448B">
              <w:trPr>
                <w:trHeight w:val="320"/>
              </w:trPr>
              <w:tc>
                <w:tcPr>
                  <w:tcW w:w="1300" w:type="dxa"/>
                  <w:tcBorders>
                    <w:top w:val="nil"/>
                    <w:left w:val="nil"/>
                    <w:bottom w:val="nil"/>
                    <w:right w:val="nil"/>
                  </w:tcBorders>
                  <w:shd w:val="clear" w:color="auto" w:fill="auto"/>
                  <w:noWrap/>
                  <w:vAlign w:val="bottom"/>
                  <w:hideMark/>
                </w:tcPr>
                <w:p w14:paraId="417C23FA"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0</w:t>
                  </w:r>
                </w:p>
              </w:tc>
              <w:tc>
                <w:tcPr>
                  <w:tcW w:w="3362" w:type="dxa"/>
                  <w:tcBorders>
                    <w:top w:val="nil"/>
                    <w:left w:val="nil"/>
                    <w:bottom w:val="nil"/>
                    <w:right w:val="nil"/>
                  </w:tcBorders>
                  <w:shd w:val="clear" w:color="auto" w:fill="auto"/>
                  <w:noWrap/>
                  <w:vAlign w:val="bottom"/>
                  <w:hideMark/>
                </w:tcPr>
                <w:p w14:paraId="527D10E0"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Daimler</w:t>
                  </w:r>
                </w:p>
              </w:tc>
            </w:tr>
            <w:tr w:rsidR="002A00D0" w:rsidRPr="002A00D0" w14:paraId="1764090F" w14:textId="77777777" w:rsidTr="001D448B">
              <w:trPr>
                <w:trHeight w:val="320"/>
              </w:trPr>
              <w:tc>
                <w:tcPr>
                  <w:tcW w:w="1300" w:type="dxa"/>
                  <w:tcBorders>
                    <w:top w:val="nil"/>
                    <w:left w:val="nil"/>
                    <w:bottom w:val="nil"/>
                    <w:right w:val="nil"/>
                  </w:tcBorders>
                  <w:shd w:val="clear" w:color="auto" w:fill="auto"/>
                  <w:noWrap/>
                  <w:vAlign w:val="bottom"/>
                  <w:hideMark/>
                </w:tcPr>
                <w:p w14:paraId="6893361D"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w:t>
                  </w:r>
                </w:p>
              </w:tc>
              <w:tc>
                <w:tcPr>
                  <w:tcW w:w="3362" w:type="dxa"/>
                  <w:tcBorders>
                    <w:top w:val="nil"/>
                    <w:left w:val="nil"/>
                    <w:bottom w:val="nil"/>
                    <w:right w:val="nil"/>
                  </w:tcBorders>
                  <w:shd w:val="clear" w:color="auto" w:fill="auto"/>
                  <w:noWrap/>
                  <w:vAlign w:val="bottom"/>
                  <w:hideMark/>
                </w:tcPr>
                <w:p w14:paraId="728FF2D7"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Shell</w:t>
                  </w:r>
                </w:p>
              </w:tc>
            </w:tr>
            <w:tr w:rsidR="002A00D0" w:rsidRPr="002A00D0" w14:paraId="0623DEBF" w14:textId="77777777" w:rsidTr="001D448B">
              <w:trPr>
                <w:trHeight w:val="320"/>
              </w:trPr>
              <w:tc>
                <w:tcPr>
                  <w:tcW w:w="1300" w:type="dxa"/>
                  <w:tcBorders>
                    <w:top w:val="nil"/>
                    <w:left w:val="nil"/>
                    <w:bottom w:val="nil"/>
                    <w:right w:val="nil"/>
                  </w:tcBorders>
                  <w:shd w:val="clear" w:color="auto" w:fill="auto"/>
                  <w:noWrap/>
                  <w:vAlign w:val="bottom"/>
                  <w:hideMark/>
                </w:tcPr>
                <w:p w14:paraId="73BC4E1A"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w:t>
                  </w:r>
                </w:p>
              </w:tc>
              <w:tc>
                <w:tcPr>
                  <w:tcW w:w="3362" w:type="dxa"/>
                  <w:tcBorders>
                    <w:top w:val="nil"/>
                    <w:left w:val="nil"/>
                    <w:bottom w:val="nil"/>
                    <w:right w:val="nil"/>
                  </w:tcBorders>
                  <w:shd w:val="clear" w:color="auto" w:fill="auto"/>
                  <w:noWrap/>
                  <w:vAlign w:val="bottom"/>
                  <w:hideMark/>
                </w:tcPr>
                <w:p w14:paraId="1A0D2A7E"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Axa</w:t>
                  </w:r>
                </w:p>
              </w:tc>
            </w:tr>
            <w:tr w:rsidR="002A00D0" w:rsidRPr="002A00D0" w14:paraId="2899C421" w14:textId="77777777" w:rsidTr="001D448B">
              <w:trPr>
                <w:trHeight w:val="320"/>
              </w:trPr>
              <w:tc>
                <w:tcPr>
                  <w:tcW w:w="1300" w:type="dxa"/>
                  <w:tcBorders>
                    <w:top w:val="nil"/>
                    <w:left w:val="nil"/>
                    <w:bottom w:val="nil"/>
                    <w:right w:val="nil"/>
                  </w:tcBorders>
                  <w:shd w:val="clear" w:color="auto" w:fill="auto"/>
                  <w:noWrap/>
                  <w:vAlign w:val="bottom"/>
                  <w:hideMark/>
                </w:tcPr>
                <w:p w14:paraId="2924F6FE"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w:t>
                  </w:r>
                </w:p>
              </w:tc>
              <w:tc>
                <w:tcPr>
                  <w:tcW w:w="3362" w:type="dxa"/>
                  <w:tcBorders>
                    <w:top w:val="nil"/>
                    <w:left w:val="nil"/>
                    <w:bottom w:val="nil"/>
                    <w:right w:val="nil"/>
                  </w:tcBorders>
                  <w:shd w:val="clear" w:color="auto" w:fill="auto"/>
                  <w:noWrap/>
                  <w:vAlign w:val="bottom"/>
                  <w:hideMark/>
                </w:tcPr>
                <w:p w14:paraId="0A242B32"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BP</w:t>
                  </w:r>
                </w:p>
              </w:tc>
            </w:tr>
            <w:tr w:rsidR="002A00D0" w:rsidRPr="002A00D0" w14:paraId="4C921CF1" w14:textId="77777777" w:rsidTr="001D448B">
              <w:trPr>
                <w:trHeight w:val="320"/>
              </w:trPr>
              <w:tc>
                <w:tcPr>
                  <w:tcW w:w="1300" w:type="dxa"/>
                  <w:tcBorders>
                    <w:top w:val="nil"/>
                    <w:left w:val="nil"/>
                    <w:bottom w:val="nil"/>
                    <w:right w:val="nil"/>
                  </w:tcBorders>
                  <w:shd w:val="clear" w:color="auto" w:fill="auto"/>
                  <w:noWrap/>
                  <w:vAlign w:val="bottom"/>
                  <w:hideMark/>
                </w:tcPr>
                <w:p w14:paraId="2E05EAD9"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w:t>
                  </w:r>
                </w:p>
              </w:tc>
              <w:tc>
                <w:tcPr>
                  <w:tcW w:w="3362" w:type="dxa"/>
                  <w:tcBorders>
                    <w:top w:val="nil"/>
                    <w:left w:val="nil"/>
                    <w:bottom w:val="nil"/>
                    <w:right w:val="nil"/>
                  </w:tcBorders>
                  <w:shd w:val="clear" w:color="auto" w:fill="auto"/>
                  <w:noWrap/>
                  <w:vAlign w:val="bottom"/>
                  <w:hideMark/>
                </w:tcPr>
                <w:p w14:paraId="340F5DE6"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Volkswagen</w:t>
                  </w:r>
                </w:p>
              </w:tc>
            </w:tr>
            <w:tr w:rsidR="002A00D0" w:rsidRPr="002A00D0" w14:paraId="67084E77" w14:textId="77777777" w:rsidTr="001D448B">
              <w:trPr>
                <w:trHeight w:val="320"/>
              </w:trPr>
              <w:tc>
                <w:tcPr>
                  <w:tcW w:w="1300" w:type="dxa"/>
                  <w:tcBorders>
                    <w:top w:val="nil"/>
                    <w:left w:val="nil"/>
                    <w:bottom w:val="nil"/>
                    <w:right w:val="nil"/>
                  </w:tcBorders>
                  <w:shd w:val="clear" w:color="auto" w:fill="auto"/>
                  <w:noWrap/>
                  <w:vAlign w:val="bottom"/>
                  <w:hideMark/>
                </w:tcPr>
                <w:p w14:paraId="1C6D21F8"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5</w:t>
                  </w:r>
                </w:p>
              </w:tc>
              <w:tc>
                <w:tcPr>
                  <w:tcW w:w="3362" w:type="dxa"/>
                  <w:tcBorders>
                    <w:top w:val="nil"/>
                    <w:left w:val="nil"/>
                    <w:bottom w:val="nil"/>
                    <w:right w:val="nil"/>
                  </w:tcBorders>
                  <w:shd w:val="clear" w:color="auto" w:fill="auto"/>
                  <w:noWrap/>
                  <w:vAlign w:val="bottom"/>
                  <w:hideMark/>
                </w:tcPr>
                <w:p w14:paraId="21BCE776"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Siemens</w:t>
                  </w:r>
                </w:p>
              </w:tc>
            </w:tr>
            <w:tr w:rsidR="002A00D0" w:rsidRPr="002A00D0" w14:paraId="66C4315C" w14:textId="77777777" w:rsidTr="001D448B">
              <w:trPr>
                <w:trHeight w:val="320"/>
              </w:trPr>
              <w:tc>
                <w:tcPr>
                  <w:tcW w:w="1300" w:type="dxa"/>
                  <w:tcBorders>
                    <w:top w:val="nil"/>
                    <w:left w:val="nil"/>
                    <w:bottom w:val="nil"/>
                    <w:right w:val="nil"/>
                  </w:tcBorders>
                  <w:shd w:val="clear" w:color="auto" w:fill="auto"/>
                  <w:noWrap/>
                  <w:vAlign w:val="bottom"/>
                  <w:hideMark/>
                </w:tcPr>
                <w:p w14:paraId="44B718B3"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6</w:t>
                  </w:r>
                </w:p>
              </w:tc>
              <w:tc>
                <w:tcPr>
                  <w:tcW w:w="3362" w:type="dxa"/>
                  <w:tcBorders>
                    <w:top w:val="nil"/>
                    <w:left w:val="nil"/>
                    <w:bottom w:val="nil"/>
                    <w:right w:val="nil"/>
                  </w:tcBorders>
                  <w:shd w:val="clear" w:color="auto" w:fill="auto"/>
                  <w:noWrap/>
                  <w:vAlign w:val="bottom"/>
                  <w:hideMark/>
                </w:tcPr>
                <w:p w14:paraId="3F3B7354"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Allianz</w:t>
                  </w:r>
                </w:p>
              </w:tc>
            </w:tr>
            <w:tr w:rsidR="002A00D0" w:rsidRPr="002A00D0" w14:paraId="7F695827" w14:textId="77777777" w:rsidTr="001D448B">
              <w:trPr>
                <w:trHeight w:val="320"/>
              </w:trPr>
              <w:tc>
                <w:tcPr>
                  <w:tcW w:w="1300" w:type="dxa"/>
                  <w:tcBorders>
                    <w:top w:val="nil"/>
                    <w:left w:val="nil"/>
                    <w:bottom w:val="nil"/>
                    <w:right w:val="nil"/>
                  </w:tcBorders>
                  <w:shd w:val="clear" w:color="auto" w:fill="auto"/>
                  <w:noWrap/>
                  <w:vAlign w:val="bottom"/>
                  <w:hideMark/>
                </w:tcPr>
                <w:p w14:paraId="0FA67A14"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7</w:t>
                  </w:r>
                </w:p>
              </w:tc>
              <w:tc>
                <w:tcPr>
                  <w:tcW w:w="3362" w:type="dxa"/>
                  <w:tcBorders>
                    <w:top w:val="nil"/>
                    <w:left w:val="nil"/>
                    <w:bottom w:val="nil"/>
                    <w:right w:val="nil"/>
                  </w:tcBorders>
                  <w:shd w:val="clear" w:color="auto" w:fill="auto"/>
                  <w:noWrap/>
                  <w:vAlign w:val="bottom"/>
                  <w:hideMark/>
                </w:tcPr>
                <w:p w14:paraId="00A61B13"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ING</w:t>
                  </w:r>
                </w:p>
              </w:tc>
            </w:tr>
            <w:tr w:rsidR="002A00D0" w:rsidRPr="002A00D0" w14:paraId="737EDFBA" w14:textId="77777777" w:rsidTr="001D448B">
              <w:trPr>
                <w:trHeight w:val="320"/>
              </w:trPr>
              <w:tc>
                <w:tcPr>
                  <w:tcW w:w="1300" w:type="dxa"/>
                  <w:tcBorders>
                    <w:top w:val="nil"/>
                    <w:left w:val="nil"/>
                    <w:bottom w:val="nil"/>
                    <w:right w:val="nil"/>
                  </w:tcBorders>
                  <w:shd w:val="clear" w:color="auto" w:fill="auto"/>
                  <w:noWrap/>
                  <w:vAlign w:val="bottom"/>
                  <w:hideMark/>
                </w:tcPr>
                <w:p w14:paraId="0767CF7A"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8</w:t>
                  </w:r>
                </w:p>
              </w:tc>
              <w:tc>
                <w:tcPr>
                  <w:tcW w:w="3362" w:type="dxa"/>
                  <w:tcBorders>
                    <w:top w:val="nil"/>
                    <w:left w:val="nil"/>
                    <w:bottom w:val="nil"/>
                    <w:right w:val="nil"/>
                  </w:tcBorders>
                  <w:shd w:val="clear" w:color="auto" w:fill="auto"/>
                  <w:noWrap/>
                  <w:vAlign w:val="bottom"/>
                  <w:hideMark/>
                </w:tcPr>
                <w:p w14:paraId="348F2B5A"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Deutsche Bank</w:t>
                  </w:r>
                </w:p>
              </w:tc>
            </w:tr>
            <w:tr w:rsidR="002A00D0" w:rsidRPr="002A00D0" w14:paraId="53A9C424" w14:textId="77777777" w:rsidTr="001D448B">
              <w:trPr>
                <w:trHeight w:val="320"/>
              </w:trPr>
              <w:tc>
                <w:tcPr>
                  <w:tcW w:w="1300" w:type="dxa"/>
                  <w:tcBorders>
                    <w:top w:val="nil"/>
                    <w:left w:val="nil"/>
                    <w:bottom w:val="nil"/>
                    <w:right w:val="nil"/>
                  </w:tcBorders>
                  <w:shd w:val="clear" w:color="auto" w:fill="auto"/>
                  <w:noWrap/>
                  <w:vAlign w:val="bottom"/>
                  <w:hideMark/>
                </w:tcPr>
                <w:p w14:paraId="6559E013"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9</w:t>
                  </w:r>
                </w:p>
              </w:tc>
              <w:tc>
                <w:tcPr>
                  <w:tcW w:w="3362" w:type="dxa"/>
                  <w:tcBorders>
                    <w:top w:val="nil"/>
                    <w:left w:val="nil"/>
                    <w:bottom w:val="nil"/>
                    <w:right w:val="nil"/>
                  </w:tcBorders>
                  <w:shd w:val="clear" w:color="auto" w:fill="auto"/>
                  <w:noWrap/>
                  <w:vAlign w:val="bottom"/>
                  <w:hideMark/>
                </w:tcPr>
                <w:p w14:paraId="43F61C55"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Assicurazioni Generali</w:t>
                  </w:r>
                </w:p>
              </w:tc>
            </w:tr>
            <w:tr w:rsidR="002A00D0" w:rsidRPr="002A00D0" w14:paraId="74EFBD0B" w14:textId="77777777" w:rsidTr="001D448B">
              <w:trPr>
                <w:trHeight w:val="320"/>
              </w:trPr>
              <w:tc>
                <w:tcPr>
                  <w:tcW w:w="1300" w:type="dxa"/>
                  <w:tcBorders>
                    <w:top w:val="nil"/>
                    <w:left w:val="nil"/>
                    <w:bottom w:val="nil"/>
                    <w:right w:val="nil"/>
                  </w:tcBorders>
                  <w:shd w:val="clear" w:color="auto" w:fill="auto"/>
                  <w:noWrap/>
                  <w:vAlign w:val="bottom"/>
                  <w:hideMark/>
                </w:tcPr>
                <w:p w14:paraId="32D67C0F"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10</w:t>
                  </w:r>
                </w:p>
              </w:tc>
              <w:tc>
                <w:tcPr>
                  <w:tcW w:w="3362" w:type="dxa"/>
                  <w:tcBorders>
                    <w:top w:val="nil"/>
                    <w:left w:val="nil"/>
                    <w:bottom w:val="nil"/>
                    <w:right w:val="nil"/>
                  </w:tcBorders>
                  <w:shd w:val="clear" w:color="auto" w:fill="auto"/>
                  <w:noWrap/>
                  <w:vAlign w:val="bottom"/>
                  <w:hideMark/>
                </w:tcPr>
                <w:p w14:paraId="69622343"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E.On</w:t>
                  </w:r>
                </w:p>
              </w:tc>
            </w:tr>
            <w:tr w:rsidR="002A00D0" w:rsidRPr="002A00D0" w14:paraId="31C48EE4" w14:textId="77777777" w:rsidTr="001D448B">
              <w:trPr>
                <w:trHeight w:val="320"/>
              </w:trPr>
              <w:tc>
                <w:tcPr>
                  <w:tcW w:w="1300" w:type="dxa"/>
                  <w:tcBorders>
                    <w:top w:val="nil"/>
                    <w:left w:val="nil"/>
                    <w:bottom w:val="nil"/>
                    <w:right w:val="nil"/>
                  </w:tcBorders>
                  <w:shd w:val="clear" w:color="auto" w:fill="auto"/>
                  <w:noWrap/>
                  <w:vAlign w:val="bottom"/>
                  <w:hideMark/>
                </w:tcPr>
                <w:p w14:paraId="2C344AEE"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11</w:t>
                  </w:r>
                </w:p>
              </w:tc>
              <w:tc>
                <w:tcPr>
                  <w:tcW w:w="3362" w:type="dxa"/>
                  <w:tcBorders>
                    <w:top w:val="nil"/>
                    <w:left w:val="nil"/>
                    <w:bottom w:val="nil"/>
                    <w:right w:val="nil"/>
                  </w:tcBorders>
                  <w:shd w:val="clear" w:color="auto" w:fill="auto"/>
                  <w:noWrap/>
                  <w:vAlign w:val="bottom"/>
                  <w:hideMark/>
                </w:tcPr>
                <w:p w14:paraId="6D2B50B8"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Fiat/Exor</w:t>
                  </w:r>
                </w:p>
              </w:tc>
            </w:tr>
            <w:tr w:rsidR="002A00D0" w:rsidRPr="002A00D0" w14:paraId="46A65812" w14:textId="77777777" w:rsidTr="001D448B">
              <w:trPr>
                <w:trHeight w:val="320"/>
              </w:trPr>
              <w:tc>
                <w:tcPr>
                  <w:tcW w:w="1300" w:type="dxa"/>
                  <w:tcBorders>
                    <w:top w:val="nil"/>
                    <w:left w:val="nil"/>
                    <w:bottom w:val="nil"/>
                    <w:right w:val="nil"/>
                  </w:tcBorders>
                  <w:shd w:val="clear" w:color="auto" w:fill="auto"/>
                  <w:noWrap/>
                  <w:vAlign w:val="bottom"/>
                  <w:hideMark/>
                </w:tcPr>
                <w:p w14:paraId="5CAA97F8"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12</w:t>
                  </w:r>
                </w:p>
              </w:tc>
              <w:tc>
                <w:tcPr>
                  <w:tcW w:w="3362" w:type="dxa"/>
                  <w:tcBorders>
                    <w:top w:val="nil"/>
                    <w:left w:val="nil"/>
                    <w:bottom w:val="nil"/>
                    <w:right w:val="nil"/>
                  </w:tcBorders>
                  <w:shd w:val="clear" w:color="auto" w:fill="auto"/>
                  <w:noWrap/>
                  <w:vAlign w:val="bottom"/>
                  <w:hideMark/>
                </w:tcPr>
                <w:p w14:paraId="1794E874"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Metro</w:t>
                  </w:r>
                </w:p>
              </w:tc>
            </w:tr>
            <w:tr w:rsidR="002A00D0" w:rsidRPr="002A00D0" w14:paraId="4DBB50C1" w14:textId="77777777" w:rsidTr="001D448B">
              <w:trPr>
                <w:trHeight w:val="320"/>
              </w:trPr>
              <w:tc>
                <w:tcPr>
                  <w:tcW w:w="1300" w:type="dxa"/>
                  <w:tcBorders>
                    <w:top w:val="nil"/>
                    <w:left w:val="nil"/>
                    <w:bottom w:val="nil"/>
                    <w:right w:val="nil"/>
                  </w:tcBorders>
                  <w:shd w:val="clear" w:color="auto" w:fill="auto"/>
                  <w:noWrap/>
                  <w:vAlign w:val="bottom"/>
                  <w:hideMark/>
                </w:tcPr>
                <w:p w14:paraId="768D91A3"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13</w:t>
                  </w:r>
                </w:p>
              </w:tc>
              <w:tc>
                <w:tcPr>
                  <w:tcW w:w="3362" w:type="dxa"/>
                  <w:tcBorders>
                    <w:top w:val="nil"/>
                    <w:left w:val="nil"/>
                    <w:bottom w:val="nil"/>
                    <w:right w:val="nil"/>
                  </w:tcBorders>
                  <w:shd w:val="clear" w:color="auto" w:fill="auto"/>
                  <w:noWrap/>
                  <w:vAlign w:val="bottom"/>
                  <w:hideMark/>
                </w:tcPr>
                <w:p w14:paraId="30191805"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Total</w:t>
                  </w:r>
                </w:p>
              </w:tc>
            </w:tr>
            <w:tr w:rsidR="002A00D0" w:rsidRPr="002A00D0" w14:paraId="38855173" w14:textId="77777777" w:rsidTr="001D448B">
              <w:trPr>
                <w:trHeight w:val="320"/>
              </w:trPr>
              <w:tc>
                <w:tcPr>
                  <w:tcW w:w="1300" w:type="dxa"/>
                  <w:tcBorders>
                    <w:top w:val="nil"/>
                    <w:left w:val="nil"/>
                    <w:bottom w:val="nil"/>
                    <w:right w:val="nil"/>
                  </w:tcBorders>
                  <w:shd w:val="clear" w:color="auto" w:fill="auto"/>
                  <w:noWrap/>
                  <w:vAlign w:val="bottom"/>
                  <w:hideMark/>
                </w:tcPr>
                <w:p w14:paraId="2615ED42"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14</w:t>
                  </w:r>
                </w:p>
              </w:tc>
              <w:tc>
                <w:tcPr>
                  <w:tcW w:w="3362" w:type="dxa"/>
                  <w:tcBorders>
                    <w:top w:val="nil"/>
                    <w:left w:val="nil"/>
                    <w:bottom w:val="nil"/>
                    <w:right w:val="nil"/>
                  </w:tcBorders>
                  <w:shd w:val="clear" w:color="auto" w:fill="auto"/>
                  <w:noWrap/>
                  <w:vAlign w:val="bottom"/>
                  <w:hideMark/>
                </w:tcPr>
                <w:p w14:paraId="323BBB18"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Vivendi</w:t>
                  </w:r>
                </w:p>
              </w:tc>
            </w:tr>
            <w:tr w:rsidR="002A00D0" w:rsidRPr="002A00D0" w14:paraId="7CC57FF2" w14:textId="77777777" w:rsidTr="001D448B">
              <w:trPr>
                <w:trHeight w:val="320"/>
              </w:trPr>
              <w:tc>
                <w:tcPr>
                  <w:tcW w:w="1300" w:type="dxa"/>
                  <w:tcBorders>
                    <w:top w:val="nil"/>
                    <w:left w:val="nil"/>
                    <w:bottom w:val="nil"/>
                    <w:right w:val="nil"/>
                  </w:tcBorders>
                  <w:shd w:val="clear" w:color="auto" w:fill="auto"/>
                  <w:noWrap/>
                  <w:vAlign w:val="bottom"/>
                  <w:hideMark/>
                </w:tcPr>
                <w:p w14:paraId="6D92786C"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15</w:t>
                  </w:r>
                </w:p>
              </w:tc>
              <w:tc>
                <w:tcPr>
                  <w:tcW w:w="3362" w:type="dxa"/>
                  <w:tcBorders>
                    <w:top w:val="nil"/>
                    <w:left w:val="nil"/>
                    <w:bottom w:val="nil"/>
                    <w:right w:val="nil"/>
                  </w:tcBorders>
                  <w:shd w:val="clear" w:color="auto" w:fill="auto"/>
                  <w:noWrap/>
                  <w:vAlign w:val="bottom"/>
                  <w:hideMark/>
                </w:tcPr>
                <w:p w14:paraId="2722CAA9"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Unilever</w:t>
                  </w:r>
                </w:p>
              </w:tc>
            </w:tr>
            <w:tr w:rsidR="002A00D0" w:rsidRPr="002A00D0" w14:paraId="5B99BE26" w14:textId="77777777" w:rsidTr="001D448B">
              <w:trPr>
                <w:trHeight w:val="320"/>
              </w:trPr>
              <w:tc>
                <w:tcPr>
                  <w:tcW w:w="1300" w:type="dxa"/>
                  <w:tcBorders>
                    <w:top w:val="nil"/>
                    <w:left w:val="nil"/>
                    <w:bottom w:val="nil"/>
                    <w:right w:val="nil"/>
                  </w:tcBorders>
                  <w:shd w:val="clear" w:color="auto" w:fill="auto"/>
                  <w:noWrap/>
                  <w:vAlign w:val="bottom"/>
                  <w:hideMark/>
                </w:tcPr>
                <w:p w14:paraId="3FCA5CDA"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16</w:t>
                  </w:r>
                </w:p>
              </w:tc>
              <w:tc>
                <w:tcPr>
                  <w:tcW w:w="3362" w:type="dxa"/>
                  <w:tcBorders>
                    <w:top w:val="nil"/>
                    <w:left w:val="nil"/>
                    <w:bottom w:val="nil"/>
                    <w:right w:val="nil"/>
                  </w:tcBorders>
                  <w:shd w:val="clear" w:color="auto" w:fill="auto"/>
                  <w:noWrap/>
                  <w:vAlign w:val="bottom"/>
                  <w:hideMark/>
                </w:tcPr>
                <w:p w14:paraId="5158ED70"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Prudential</w:t>
                  </w:r>
                </w:p>
              </w:tc>
            </w:tr>
            <w:tr w:rsidR="002A00D0" w:rsidRPr="002A00D0" w14:paraId="12635456" w14:textId="77777777" w:rsidTr="001D448B">
              <w:trPr>
                <w:trHeight w:val="320"/>
              </w:trPr>
              <w:tc>
                <w:tcPr>
                  <w:tcW w:w="1300" w:type="dxa"/>
                  <w:tcBorders>
                    <w:top w:val="nil"/>
                    <w:left w:val="nil"/>
                    <w:bottom w:val="nil"/>
                    <w:right w:val="nil"/>
                  </w:tcBorders>
                  <w:shd w:val="clear" w:color="auto" w:fill="auto"/>
                  <w:noWrap/>
                  <w:vAlign w:val="bottom"/>
                  <w:hideMark/>
                </w:tcPr>
                <w:p w14:paraId="34209730"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17</w:t>
                  </w:r>
                </w:p>
              </w:tc>
              <w:tc>
                <w:tcPr>
                  <w:tcW w:w="3362" w:type="dxa"/>
                  <w:tcBorders>
                    <w:top w:val="nil"/>
                    <w:left w:val="nil"/>
                    <w:bottom w:val="nil"/>
                    <w:right w:val="nil"/>
                  </w:tcBorders>
                  <w:shd w:val="clear" w:color="auto" w:fill="auto"/>
                  <w:noWrap/>
                  <w:vAlign w:val="bottom"/>
                  <w:hideMark/>
                </w:tcPr>
                <w:p w14:paraId="6154EF0B"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Aviva</w:t>
                  </w:r>
                </w:p>
              </w:tc>
            </w:tr>
            <w:tr w:rsidR="002A00D0" w:rsidRPr="002A00D0" w14:paraId="5B2D4DD5" w14:textId="77777777" w:rsidTr="001D448B">
              <w:trPr>
                <w:trHeight w:val="320"/>
              </w:trPr>
              <w:tc>
                <w:tcPr>
                  <w:tcW w:w="1300" w:type="dxa"/>
                  <w:tcBorders>
                    <w:top w:val="nil"/>
                    <w:left w:val="nil"/>
                    <w:bottom w:val="nil"/>
                    <w:right w:val="nil"/>
                  </w:tcBorders>
                  <w:shd w:val="clear" w:color="auto" w:fill="auto"/>
                  <w:noWrap/>
                  <w:vAlign w:val="bottom"/>
                  <w:hideMark/>
                </w:tcPr>
                <w:p w14:paraId="07A72AD5"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18</w:t>
                  </w:r>
                </w:p>
              </w:tc>
              <w:tc>
                <w:tcPr>
                  <w:tcW w:w="3362" w:type="dxa"/>
                  <w:tcBorders>
                    <w:top w:val="nil"/>
                    <w:left w:val="nil"/>
                    <w:bottom w:val="nil"/>
                    <w:right w:val="nil"/>
                  </w:tcBorders>
                  <w:shd w:val="clear" w:color="auto" w:fill="auto"/>
                  <w:noWrap/>
                  <w:vAlign w:val="bottom"/>
                  <w:hideMark/>
                </w:tcPr>
                <w:p w14:paraId="3322DAB6"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Peugeot</w:t>
                  </w:r>
                </w:p>
              </w:tc>
            </w:tr>
            <w:tr w:rsidR="002A00D0" w:rsidRPr="002A00D0" w14:paraId="59A10262" w14:textId="77777777" w:rsidTr="001D448B">
              <w:trPr>
                <w:trHeight w:val="320"/>
              </w:trPr>
              <w:tc>
                <w:tcPr>
                  <w:tcW w:w="1300" w:type="dxa"/>
                  <w:tcBorders>
                    <w:top w:val="nil"/>
                    <w:left w:val="nil"/>
                    <w:bottom w:val="nil"/>
                    <w:right w:val="nil"/>
                  </w:tcBorders>
                  <w:shd w:val="clear" w:color="auto" w:fill="auto"/>
                  <w:noWrap/>
                  <w:vAlign w:val="bottom"/>
                  <w:hideMark/>
                </w:tcPr>
                <w:p w14:paraId="740FDCC9"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19</w:t>
                  </w:r>
                </w:p>
              </w:tc>
              <w:tc>
                <w:tcPr>
                  <w:tcW w:w="3362" w:type="dxa"/>
                  <w:tcBorders>
                    <w:top w:val="nil"/>
                    <w:left w:val="nil"/>
                    <w:bottom w:val="nil"/>
                    <w:right w:val="nil"/>
                  </w:tcBorders>
                  <w:shd w:val="clear" w:color="auto" w:fill="auto"/>
                  <w:noWrap/>
                  <w:vAlign w:val="bottom"/>
                  <w:hideMark/>
                </w:tcPr>
                <w:p w14:paraId="1F960741"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Renault</w:t>
                  </w:r>
                </w:p>
              </w:tc>
            </w:tr>
            <w:tr w:rsidR="002A00D0" w:rsidRPr="002A00D0" w14:paraId="4B437115" w14:textId="77777777" w:rsidTr="001D448B">
              <w:trPr>
                <w:trHeight w:val="320"/>
              </w:trPr>
              <w:tc>
                <w:tcPr>
                  <w:tcW w:w="1300" w:type="dxa"/>
                  <w:tcBorders>
                    <w:top w:val="nil"/>
                    <w:left w:val="nil"/>
                    <w:bottom w:val="nil"/>
                    <w:right w:val="nil"/>
                  </w:tcBorders>
                  <w:shd w:val="clear" w:color="auto" w:fill="auto"/>
                  <w:noWrap/>
                  <w:vAlign w:val="bottom"/>
                  <w:hideMark/>
                </w:tcPr>
                <w:p w14:paraId="10E5452B"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20</w:t>
                  </w:r>
                </w:p>
              </w:tc>
              <w:tc>
                <w:tcPr>
                  <w:tcW w:w="3362" w:type="dxa"/>
                  <w:tcBorders>
                    <w:top w:val="nil"/>
                    <w:left w:val="nil"/>
                    <w:bottom w:val="nil"/>
                    <w:right w:val="nil"/>
                  </w:tcBorders>
                  <w:shd w:val="clear" w:color="auto" w:fill="auto"/>
                  <w:noWrap/>
                  <w:vAlign w:val="bottom"/>
                  <w:hideMark/>
                </w:tcPr>
                <w:p w14:paraId="469B34C0"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BNP Paribas</w:t>
                  </w:r>
                </w:p>
              </w:tc>
            </w:tr>
            <w:tr w:rsidR="002A00D0" w:rsidRPr="002A00D0" w14:paraId="6820639D" w14:textId="77777777" w:rsidTr="001D448B">
              <w:trPr>
                <w:trHeight w:val="320"/>
              </w:trPr>
              <w:tc>
                <w:tcPr>
                  <w:tcW w:w="1300" w:type="dxa"/>
                  <w:tcBorders>
                    <w:top w:val="nil"/>
                    <w:left w:val="nil"/>
                    <w:bottom w:val="nil"/>
                    <w:right w:val="nil"/>
                  </w:tcBorders>
                  <w:shd w:val="clear" w:color="auto" w:fill="auto"/>
                  <w:noWrap/>
                  <w:vAlign w:val="bottom"/>
                  <w:hideMark/>
                </w:tcPr>
                <w:p w14:paraId="75560978"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21</w:t>
                  </w:r>
                </w:p>
              </w:tc>
              <w:tc>
                <w:tcPr>
                  <w:tcW w:w="3362" w:type="dxa"/>
                  <w:tcBorders>
                    <w:top w:val="nil"/>
                    <w:left w:val="nil"/>
                    <w:bottom w:val="nil"/>
                    <w:right w:val="nil"/>
                  </w:tcBorders>
                  <w:shd w:val="clear" w:color="auto" w:fill="auto"/>
                  <w:noWrap/>
                  <w:vAlign w:val="bottom"/>
                  <w:hideMark/>
                </w:tcPr>
                <w:p w14:paraId="00B62E71"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Carrefour</w:t>
                  </w:r>
                </w:p>
              </w:tc>
            </w:tr>
            <w:tr w:rsidR="002A00D0" w:rsidRPr="002A00D0" w14:paraId="59139875" w14:textId="77777777" w:rsidTr="001D448B">
              <w:trPr>
                <w:trHeight w:val="320"/>
              </w:trPr>
              <w:tc>
                <w:tcPr>
                  <w:tcW w:w="1300" w:type="dxa"/>
                  <w:tcBorders>
                    <w:top w:val="nil"/>
                    <w:left w:val="nil"/>
                    <w:bottom w:val="nil"/>
                    <w:right w:val="nil"/>
                  </w:tcBorders>
                  <w:shd w:val="clear" w:color="auto" w:fill="auto"/>
                  <w:noWrap/>
                  <w:vAlign w:val="bottom"/>
                  <w:hideMark/>
                </w:tcPr>
                <w:p w14:paraId="3D9A7194"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22</w:t>
                  </w:r>
                </w:p>
              </w:tc>
              <w:tc>
                <w:tcPr>
                  <w:tcW w:w="3362" w:type="dxa"/>
                  <w:tcBorders>
                    <w:top w:val="nil"/>
                    <w:left w:val="nil"/>
                    <w:bottom w:val="nil"/>
                    <w:right w:val="nil"/>
                  </w:tcBorders>
                  <w:shd w:val="clear" w:color="auto" w:fill="auto"/>
                  <w:noWrap/>
                  <w:vAlign w:val="bottom"/>
                  <w:hideMark/>
                </w:tcPr>
                <w:p w14:paraId="6903FD26"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HSBC Holdings</w:t>
                  </w:r>
                </w:p>
              </w:tc>
            </w:tr>
            <w:tr w:rsidR="002A00D0" w:rsidRPr="002A00D0" w14:paraId="4F2C2BBF" w14:textId="77777777" w:rsidTr="001D448B">
              <w:trPr>
                <w:trHeight w:val="320"/>
              </w:trPr>
              <w:tc>
                <w:tcPr>
                  <w:tcW w:w="1300" w:type="dxa"/>
                  <w:tcBorders>
                    <w:top w:val="nil"/>
                    <w:left w:val="nil"/>
                    <w:bottom w:val="nil"/>
                    <w:right w:val="nil"/>
                  </w:tcBorders>
                  <w:shd w:val="clear" w:color="auto" w:fill="auto"/>
                  <w:noWrap/>
                  <w:vAlign w:val="bottom"/>
                  <w:hideMark/>
                </w:tcPr>
                <w:p w14:paraId="5FCCB1CB"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23</w:t>
                  </w:r>
                </w:p>
              </w:tc>
              <w:tc>
                <w:tcPr>
                  <w:tcW w:w="3362" w:type="dxa"/>
                  <w:tcBorders>
                    <w:top w:val="nil"/>
                    <w:left w:val="nil"/>
                    <w:bottom w:val="nil"/>
                    <w:right w:val="nil"/>
                  </w:tcBorders>
                  <w:shd w:val="clear" w:color="auto" w:fill="auto"/>
                  <w:noWrap/>
                  <w:vAlign w:val="bottom"/>
                  <w:hideMark/>
                </w:tcPr>
                <w:p w14:paraId="4ACDAB29"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ABN Amro/Royal Bank of Scotland</w:t>
                  </w:r>
                </w:p>
              </w:tc>
            </w:tr>
            <w:tr w:rsidR="002A00D0" w:rsidRPr="002A00D0" w14:paraId="13F74631" w14:textId="77777777" w:rsidTr="001D448B">
              <w:trPr>
                <w:trHeight w:val="320"/>
              </w:trPr>
              <w:tc>
                <w:tcPr>
                  <w:tcW w:w="1300" w:type="dxa"/>
                  <w:tcBorders>
                    <w:top w:val="nil"/>
                    <w:left w:val="nil"/>
                    <w:bottom w:val="nil"/>
                    <w:right w:val="nil"/>
                  </w:tcBorders>
                  <w:shd w:val="clear" w:color="auto" w:fill="auto"/>
                  <w:noWrap/>
                  <w:vAlign w:val="bottom"/>
                  <w:hideMark/>
                </w:tcPr>
                <w:p w14:paraId="6C970EC8"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24</w:t>
                  </w:r>
                </w:p>
              </w:tc>
              <w:tc>
                <w:tcPr>
                  <w:tcW w:w="3362" w:type="dxa"/>
                  <w:tcBorders>
                    <w:top w:val="nil"/>
                    <w:left w:val="nil"/>
                    <w:bottom w:val="nil"/>
                    <w:right w:val="nil"/>
                  </w:tcBorders>
                  <w:shd w:val="clear" w:color="auto" w:fill="auto"/>
                  <w:noWrap/>
                  <w:vAlign w:val="bottom"/>
                  <w:hideMark/>
                </w:tcPr>
                <w:p w14:paraId="7A1F0B09"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RWE</w:t>
                  </w:r>
                </w:p>
              </w:tc>
            </w:tr>
            <w:tr w:rsidR="002A00D0" w:rsidRPr="002A00D0" w14:paraId="58657661" w14:textId="77777777" w:rsidTr="001D448B">
              <w:trPr>
                <w:trHeight w:val="320"/>
              </w:trPr>
              <w:tc>
                <w:tcPr>
                  <w:tcW w:w="1300" w:type="dxa"/>
                  <w:tcBorders>
                    <w:top w:val="nil"/>
                    <w:left w:val="nil"/>
                    <w:bottom w:val="nil"/>
                    <w:right w:val="nil"/>
                  </w:tcBorders>
                  <w:shd w:val="clear" w:color="auto" w:fill="auto"/>
                  <w:noWrap/>
                  <w:vAlign w:val="bottom"/>
                  <w:hideMark/>
                </w:tcPr>
                <w:p w14:paraId="104C8B43"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25</w:t>
                  </w:r>
                </w:p>
              </w:tc>
              <w:tc>
                <w:tcPr>
                  <w:tcW w:w="3362" w:type="dxa"/>
                  <w:tcBorders>
                    <w:top w:val="nil"/>
                    <w:left w:val="nil"/>
                    <w:bottom w:val="nil"/>
                    <w:right w:val="nil"/>
                  </w:tcBorders>
                  <w:shd w:val="clear" w:color="auto" w:fill="auto"/>
                  <w:noWrap/>
                  <w:vAlign w:val="bottom"/>
                  <w:hideMark/>
                </w:tcPr>
                <w:p w14:paraId="63874B6D"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Alcatel Lucent</w:t>
                  </w:r>
                </w:p>
              </w:tc>
            </w:tr>
            <w:tr w:rsidR="002A00D0" w:rsidRPr="002A00D0" w14:paraId="72591947" w14:textId="77777777" w:rsidTr="001D448B">
              <w:trPr>
                <w:trHeight w:val="320"/>
              </w:trPr>
              <w:tc>
                <w:tcPr>
                  <w:tcW w:w="1300" w:type="dxa"/>
                  <w:tcBorders>
                    <w:top w:val="nil"/>
                    <w:left w:val="nil"/>
                    <w:bottom w:val="nil"/>
                    <w:right w:val="nil"/>
                  </w:tcBorders>
                  <w:shd w:val="clear" w:color="auto" w:fill="auto"/>
                  <w:noWrap/>
                  <w:vAlign w:val="bottom"/>
                  <w:hideMark/>
                </w:tcPr>
                <w:p w14:paraId="477B42A7"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26</w:t>
                  </w:r>
                </w:p>
              </w:tc>
              <w:tc>
                <w:tcPr>
                  <w:tcW w:w="3362" w:type="dxa"/>
                  <w:tcBorders>
                    <w:top w:val="nil"/>
                    <w:left w:val="nil"/>
                    <w:bottom w:val="nil"/>
                    <w:right w:val="nil"/>
                  </w:tcBorders>
                  <w:shd w:val="clear" w:color="auto" w:fill="auto"/>
                  <w:noWrap/>
                  <w:vAlign w:val="bottom"/>
                  <w:hideMark/>
                </w:tcPr>
                <w:p w14:paraId="5EB8CB38"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Deutsche Telekom</w:t>
                  </w:r>
                </w:p>
              </w:tc>
            </w:tr>
            <w:tr w:rsidR="002A00D0" w:rsidRPr="002A00D0" w14:paraId="4E40416D" w14:textId="77777777" w:rsidTr="001D448B">
              <w:trPr>
                <w:trHeight w:val="320"/>
              </w:trPr>
              <w:tc>
                <w:tcPr>
                  <w:tcW w:w="1300" w:type="dxa"/>
                  <w:tcBorders>
                    <w:top w:val="nil"/>
                    <w:left w:val="nil"/>
                    <w:bottom w:val="nil"/>
                    <w:right w:val="nil"/>
                  </w:tcBorders>
                  <w:shd w:val="clear" w:color="auto" w:fill="auto"/>
                  <w:noWrap/>
                  <w:vAlign w:val="bottom"/>
                  <w:hideMark/>
                </w:tcPr>
                <w:p w14:paraId="5F2BB53F"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27</w:t>
                  </w:r>
                </w:p>
              </w:tc>
              <w:tc>
                <w:tcPr>
                  <w:tcW w:w="3362" w:type="dxa"/>
                  <w:tcBorders>
                    <w:top w:val="nil"/>
                    <w:left w:val="nil"/>
                    <w:bottom w:val="nil"/>
                    <w:right w:val="nil"/>
                  </w:tcBorders>
                  <w:shd w:val="clear" w:color="auto" w:fill="auto"/>
                  <w:noWrap/>
                  <w:vAlign w:val="bottom"/>
                  <w:hideMark/>
                </w:tcPr>
                <w:p w14:paraId="2AD526DA"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BMW</w:t>
                  </w:r>
                </w:p>
              </w:tc>
            </w:tr>
            <w:tr w:rsidR="002A00D0" w:rsidRPr="002A00D0" w14:paraId="73AB431F" w14:textId="77777777" w:rsidTr="001D448B">
              <w:trPr>
                <w:trHeight w:val="320"/>
              </w:trPr>
              <w:tc>
                <w:tcPr>
                  <w:tcW w:w="1300" w:type="dxa"/>
                  <w:tcBorders>
                    <w:top w:val="nil"/>
                    <w:left w:val="nil"/>
                    <w:bottom w:val="nil"/>
                    <w:right w:val="nil"/>
                  </w:tcBorders>
                  <w:shd w:val="clear" w:color="auto" w:fill="auto"/>
                  <w:noWrap/>
                  <w:vAlign w:val="bottom"/>
                  <w:hideMark/>
                </w:tcPr>
                <w:p w14:paraId="121AD056"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28</w:t>
                  </w:r>
                </w:p>
              </w:tc>
              <w:tc>
                <w:tcPr>
                  <w:tcW w:w="3362" w:type="dxa"/>
                  <w:tcBorders>
                    <w:top w:val="nil"/>
                    <w:left w:val="nil"/>
                    <w:bottom w:val="nil"/>
                    <w:right w:val="nil"/>
                  </w:tcBorders>
                  <w:shd w:val="clear" w:color="auto" w:fill="auto"/>
                  <w:noWrap/>
                  <w:vAlign w:val="bottom"/>
                  <w:hideMark/>
                </w:tcPr>
                <w:p w14:paraId="29B72FA3"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Ahold</w:t>
                  </w:r>
                </w:p>
              </w:tc>
            </w:tr>
            <w:tr w:rsidR="002A00D0" w:rsidRPr="002A00D0" w14:paraId="67330FD3" w14:textId="77777777" w:rsidTr="001D448B">
              <w:trPr>
                <w:trHeight w:val="320"/>
              </w:trPr>
              <w:tc>
                <w:tcPr>
                  <w:tcW w:w="1300" w:type="dxa"/>
                  <w:tcBorders>
                    <w:top w:val="nil"/>
                    <w:left w:val="nil"/>
                    <w:bottom w:val="nil"/>
                    <w:right w:val="nil"/>
                  </w:tcBorders>
                  <w:shd w:val="clear" w:color="auto" w:fill="auto"/>
                  <w:noWrap/>
                  <w:vAlign w:val="bottom"/>
                  <w:hideMark/>
                </w:tcPr>
                <w:p w14:paraId="0C3B0456"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29</w:t>
                  </w:r>
                </w:p>
              </w:tc>
              <w:tc>
                <w:tcPr>
                  <w:tcW w:w="3362" w:type="dxa"/>
                  <w:tcBorders>
                    <w:top w:val="nil"/>
                    <w:left w:val="nil"/>
                    <w:bottom w:val="nil"/>
                    <w:right w:val="nil"/>
                  </w:tcBorders>
                  <w:shd w:val="clear" w:color="auto" w:fill="auto"/>
                  <w:noWrap/>
                  <w:vAlign w:val="bottom"/>
                  <w:hideMark/>
                </w:tcPr>
                <w:p w14:paraId="4F220553"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Electricite de France</w:t>
                  </w:r>
                </w:p>
              </w:tc>
            </w:tr>
            <w:tr w:rsidR="002A00D0" w:rsidRPr="002A00D0" w14:paraId="0332845A" w14:textId="77777777" w:rsidTr="001D448B">
              <w:trPr>
                <w:trHeight w:val="320"/>
              </w:trPr>
              <w:tc>
                <w:tcPr>
                  <w:tcW w:w="1300" w:type="dxa"/>
                  <w:tcBorders>
                    <w:top w:val="nil"/>
                    <w:left w:val="nil"/>
                    <w:bottom w:val="nil"/>
                    <w:right w:val="nil"/>
                  </w:tcBorders>
                  <w:shd w:val="clear" w:color="auto" w:fill="auto"/>
                  <w:noWrap/>
                  <w:vAlign w:val="bottom"/>
                  <w:hideMark/>
                </w:tcPr>
                <w:p w14:paraId="2CF30737"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30</w:t>
                  </w:r>
                </w:p>
              </w:tc>
              <w:tc>
                <w:tcPr>
                  <w:tcW w:w="3362" w:type="dxa"/>
                  <w:tcBorders>
                    <w:top w:val="nil"/>
                    <w:left w:val="nil"/>
                    <w:bottom w:val="nil"/>
                    <w:right w:val="nil"/>
                  </w:tcBorders>
                  <w:shd w:val="clear" w:color="auto" w:fill="auto"/>
                  <w:noWrap/>
                  <w:vAlign w:val="bottom"/>
                  <w:hideMark/>
                </w:tcPr>
                <w:p w14:paraId="0268A299"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ENI</w:t>
                  </w:r>
                </w:p>
              </w:tc>
            </w:tr>
            <w:tr w:rsidR="002A00D0" w:rsidRPr="002A00D0" w14:paraId="14137E55" w14:textId="77777777" w:rsidTr="001D448B">
              <w:trPr>
                <w:trHeight w:val="320"/>
              </w:trPr>
              <w:tc>
                <w:tcPr>
                  <w:tcW w:w="1300" w:type="dxa"/>
                  <w:tcBorders>
                    <w:top w:val="nil"/>
                    <w:left w:val="nil"/>
                    <w:bottom w:val="nil"/>
                    <w:right w:val="nil"/>
                  </w:tcBorders>
                  <w:shd w:val="clear" w:color="auto" w:fill="auto"/>
                  <w:noWrap/>
                  <w:vAlign w:val="bottom"/>
                  <w:hideMark/>
                </w:tcPr>
                <w:p w14:paraId="440C3016"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31</w:t>
                  </w:r>
                </w:p>
              </w:tc>
              <w:tc>
                <w:tcPr>
                  <w:tcW w:w="3362" w:type="dxa"/>
                  <w:tcBorders>
                    <w:top w:val="nil"/>
                    <w:left w:val="nil"/>
                    <w:bottom w:val="nil"/>
                    <w:right w:val="nil"/>
                  </w:tcBorders>
                  <w:shd w:val="clear" w:color="auto" w:fill="auto"/>
                  <w:noWrap/>
                  <w:vAlign w:val="bottom"/>
                  <w:hideMark/>
                </w:tcPr>
                <w:p w14:paraId="229DA018"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Suez</w:t>
                  </w:r>
                </w:p>
              </w:tc>
            </w:tr>
            <w:tr w:rsidR="002A00D0" w:rsidRPr="002A00D0" w14:paraId="0A6F39A6" w14:textId="77777777" w:rsidTr="001D448B">
              <w:trPr>
                <w:trHeight w:val="320"/>
              </w:trPr>
              <w:tc>
                <w:tcPr>
                  <w:tcW w:w="1300" w:type="dxa"/>
                  <w:tcBorders>
                    <w:top w:val="nil"/>
                    <w:left w:val="nil"/>
                    <w:bottom w:val="nil"/>
                    <w:right w:val="nil"/>
                  </w:tcBorders>
                  <w:shd w:val="clear" w:color="auto" w:fill="auto"/>
                  <w:noWrap/>
                  <w:vAlign w:val="bottom"/>
                  <w:hideMark/>
                </w:tcPr>
                <w:p w14:paraId="4AE22C8A"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32</w:t>
                  </w:r>
                </w:p>
              </w:tc>
              <w:tc>
                <w:tcPr>
                  <w:tcW w:w="3362" w:type="dxa"/>
                  <w:tcBorders>
                    <w:top w:val="nil"/>
                    <w:left w:val="nil"/>
                    <w:bottom w:val="nil"/>
                    <w:right w:val="nil"/>
                  </w:tcBorders>
                  <w:shd w:val="clear" w:color="auto" w:fill="auto"/>
                  <w:noWrap/>
                  <w:vAlign w:val="bottom"/>
                  <w:hideMark/>
                </w:tcPr>
                <w:p w14:paraId="61D383AC"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Credit Agricole</w:t>
                  </w:r>
                </w:p>
              </w:tc>
            </w:tr>
            <w:tr w:rsidR="002A00D0" w:rsidRPr="002A00D0" w14:paraId="5138DE82" w14:textId="77777777" w:rsidTr="001D448B">
              <w:trPr>
                <w:trHeight w:val="320"/>
              </w:trPr>
              <w:tc>
                <w:tcPr>
                  <w:tcW w:w="1300" w:type="dxa"/>
                  <w:tcBorders>
                    <w:top w:val="nil"/>
                    <w:left w:val="nil"/>
                    <w:bottom w:val="nil"/>
                    <w:right w:val="nil"/>
                  </w:tcBorders>
                  <w:shd w:val="clear" w:color="auto" w:fill="auto"/>
                  <w:noWrap/>
                  <w:vAlign w:val="bottom"/>
                  <w:hideMark/>
                </w:tcPr>
                <w:p w14:paraId="680358D0"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33</w:t>
                  </w:r>
                </w:p>
              </w:tc>
              <w:tc>
                <w:tcPr>
                  <w:tcW w:w="3362" w:type="dxa"/>
                  <w:tcBorders>
                    <w:top w:val="nil"/>
                    <w:left w:val="nil"/>
                    <w:bottom w:val="nil"/>
                    <w:right w:val="nil"/>
                  </w:tcBorders>
                  <w:shd w:val="clear" w:color="auto" w:fill="auto"/>
                  <w:noWrap/>
                  <w:vAlign w:val="bottom"/>
                  <w:hideMark/>
                </w:tcPr>
                <w:p w14:paraId="637316A7"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ThyssenKrupp</w:t>
                  </w:r>
                </w:p>
              </w:tc>
            </w:tr>
            <w:tr w:rsidR="002A00D0" w:rsidRPr="002A00D0" w14:paraId="57452423" w14:textId="77777777" w:rsidTr="001D448B">
              <w:trPr>
                <w:trHeight w:val="320"/>
              </w:trPr>
              <w:tc>
                <w:tcPr>
                  <w:tcW w:w="1300" w:type="dxa"/>
                  <w:tcBorders>
                    <w:top w:val="nil"/>
                    <w:left w:val="nil"/>
                    <w:bottom w:val="nil"/>
                    <w:right w:val="nil"/>
                  </w:tcBorders>
                  <w:shd w:val="clear" w:color="auto" w:fill="auto"/>
                  <w:noWrap/>
                  <w:vAlign w:val="bottom"/>
                  <w:hideMark/>
                </w:tcPr>
                <w:p w14:paraId="0DBCF2E7"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34</w:t>
                  </w:r>
                </w:p>
              </w:tc>
              <w:tc>
                <w:tcPr>
                  <w:tcW w:w="3362" w:type="dxa"/>
                  <w:tcBorders>
                    <w:top w:val="nil"/>
                    <w:left w:val="nil"/>
                    <w:bottom w:val="nil"/>
                    <w:right w:val="nil"/>
                  </w:tcBorders>
                  <w:shd w:val="clear" w:color="auto" w:fill="auto"/>
                  <w:noWrap/>
                  <w:vAlign w:val="bottom"/>
                  <w:hideMark/>
                </w:tcPr>
                <w:p w14:paraId="24BF3AF2"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Unicredit</w:t>
                  </w:r>
                </w:p>
              </w:tc>
            </w:tr>
            <w:tr w:rsidR="002A00D0" w:rsidRPr="002A00D0" w14:paraId="00B462F2" w14:textId="77777777" w:rsidTr="001D448B">
              <w:trPr>
                <w:trHeight w:val="320"/>
              </w:trPr>
              <w:tc>
                <w:tcPr>
                  <w:tcW w:w="1300" w:type="dxa"/>
                  <w:tcBorders>
                    <w:top w:val="nil"/>
                    <w:left w:val="nil"/>
                    <w:bottom w:val="nil"/>
                    <w:right w:val="nil"/>
                  </w:tcBorders>
                  <w:shd w:val="clear" w:color="auto" w:fill="auto"/>
                  <w:noWrap/>
                  <w:vAlign w:val="bottom"/>
                  <w:hideMark/>
                </w:tcPr>
                <w:p w14:paraId="128844D5"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lastRenderedPageBreak/>
                    <w:t>35</w:t>
                  </w:r>
                </w:p>
              </w:tc>
              <w:tc>
                <w:tcPr>
                  <w:tcW w:w="3362" w:type="dxa"/>
                  <w:tcBorders>
                    <w:top w:val="nil"/>
                    <w:left w:val="nil"/>
                    <w:bottom w:val="nil"/>
                    <w:right w:val="nil"/>
                  </w:tcBorders>
                  <w:shd w:val="clear" w:color="auto" w:fill="auto"/>
                  <w:noWrap/>
                  <w:vAlign w:val="bottom"/>
                  <w:hideMark/>
                </w:tcPr>
                <w:p w14:paraId="10C56B5C"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BASF</w:t>
                  </w:r>
                </w:p>
              </w:tc>
            </w:tr>
            <w:tr w:rsidR="002A00D0" w:rsidRPr="002A00D0" w14:paraId="7E1635A7" w14:textId="77777777" w:rsidTr="001D448B">
              <w:trPr>
                <w:trHeight w:val="320"/>
              </w:trPr>
              <w:tc>
                <w:tcPr>
                  <w:tcW w:w="1300" w:type="dxa"/>
                  <w:tcBorders>
                    <w:top w:val="nil"/>
                    <w:left w:val="nil"/>
                    <w:bottom w:val="nil"/>
                    <w:right w:val="nil"/>
                  </w:tcBorders>
                  <w:shd w:val="clear" w:color="auto" w:fill="auto"/>
                  <w:noWrap/>
                  <w:vAlign w:val="bottom"/>
                  <w:hideMark/>
                </w:tcPr>
                <w:p w14:paraId="23448C12"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36</w:t>
                  </w:r>
                </w:p>
              </w:tc>
              <w:tc>
                <w:tcPr>
                  <w:tcW w:w="3362" w:type="dxa"/>
                  <w:tcBorders>
                    <w:top w:val="nil"/>
                    <w:left w:val="nil"/>
                    <w:bottom w:val="nil"/>
                    <w:right w:val="nil"/>
                  </w:tcBorders>
                  <w:shd w:val="clear" w:color="auto" w:fill="auto"/>
                  <w:noWrap/>
                  <w:vAlign w:val="bottom"/>
                  <w:hideMark/>
                </w:tcPr>
                <w:p w14:paraId="17BE6430"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British Telecom</w:t>
                  </w:r>
                </w:p>
              </w:tc>
            </w:tr>
            <w:tr w:rsidR="002A00D0" w:rsidRPr="002A00D0" w14:paraId="3A7DD728" w14:textId="77777777" w:rsidTr="001D448B">
              <w:trPr>
                <w:trHeight w:val="320"/>
              </w:trPr>
              <w:tc>
                <w:tcPr>
                  <w:tcW w:w="1300" w:type="dxa"/>
                  <w:tcBorders>
                    <w:top w:val="nil"/>
                    <w:left w:val="nil"/>
                    <w:bottom w:val="nil"/>
                    <w:right w:val="nil"/>
                  </w:tcBorders>
                  <w:shd w:val="clear" w:color="auto" w:fill="auto"/>
                  <w:noWrap/>
                  <w:vAlign w:val="bottom"/>
                  <w:hideMark/>
                </w:tcPr>
                <w:p w14:paraId="3515304E"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37</w:t>
                  </w:r>
                </w:p>
              </w:tc>
              <w:tc>
                <w:tcPr>
                  <w:tcW w:w="3362" w:type="dxa"/>
                  <w:tcBorders>
                    <w:top w:val="nil"/>
                    <w:left w:val="nil"/>
                    <w:bottom w:val="nil"/>
                    <w:right w:val="nil"/>
                  </w:tcBorders>
                  <w:shd w:val="clear" w:color="auto" w:fill="auto"/>
                  <w:noWrap/>
                  <w:vAlign w:val="bottom"/>
                  <w:hideMark/>
                </w:tcPr>
                <w:p w14:paraId="08EB0079"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Tesco</w:t>
                  </w:r>
                </w:p>
              </w:tc>
            </w:tr>
            <w:tr w:rsidR="002A00D0" w:rsidRPr="002A00D0" w14:paraId="33B9536F" w14:textId="77777777" w:rsidTr="001D448B">
              <w:trPr>
                <w:trHeight w:val="320"/>
              </w:trPr>
              <w:tc>
                <w:tcPr>
                  <w:tcW w:w="1300" w:type="dxa"/>
                  <w:tcBorders>
                    <w:top w:val="nil"/>
                    <w:left w:val="nil"/>
                    <w:bottom w:val="nil"/>
                    <w:right w:val="nil"/>
                  </w:tcBorders>
                  <w:shd w:val="clear" w:color="auto" w:fill="auto"/>
                  <w:noWrap/>
                  <w:vAlign w:val="bottom"/>
                  <w:hideMark/>
                </w:tcPr>
                <w:p w14:paraId="08B3F206"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38</w:t>
                  </w:r>
                </w:p>
              </w:tc>
              <w:tc>
                <w:tcPr>
                  <w:tcW w:w="3362" w:type="dxa"/>
                  <w:tcBorders>
                    <w:top w:val="nil"/>
                    <w:left w:val="nil"/>
                    <w:bottom w:val="nil"/>
                    <w:right w:val="nil"/>
                  </w:tcBorders>
                  <w:shd w:val="clear" w:color="auto" w:fill="auto"/>
                  <w:noWrap/>
                  <w:vAlign w:val="bottom"/>
                  <w:hideMark/>
                </w:tcPr>
                <w:p w14:paraId="7A589782"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Olivetti/Telecom Italia</w:t>
                  </w:r>
                </w:p>
              </w:tc>
            </w:tr>
            <w:tr w:rsidR="002A00D0" w:rsidRPr="002A00D0" w14:paraId="7355BD87" w14:textId="77777777" w:rsidTr="001D448B">
              <w:trPr>
                <w:trHeight w:val="320"/>
              </w:trPr>
              <w:tc>
                <w:tcPr>
                  <w:tcW w:w="1300" w:type="dxa"/>
                  <w:tcBorders>
                    <w:top w:val="nil"/>
                    <w:left w:val="nil"/>
                    <w:bottom w:val="nil"/>
                    <w:right w:val="nil"/>
                  </w:tcBorders>
                  <w:shd w:val="clear" w:color="auto" w:fill="auto"/>
                  <w:noWrap/>
                  <w:vAlign w:val="bottom"/>
                  <w:hideMark/>
                </w:tcPr>
                <w:p w14:paraId="67C290E1"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39</w:t>
                  </w:r>
                </w:p>
              </w:tc>
              <w:tc>
                <w:tcPr>
                  <w:tcW w:w="3362" w:type="dxa"/>
                  <w:tcBorders>
                    <w:top w:val="nil"/>
                    <w:left w:val="nil"/>
                    <w:bottom w:val="nil"/>
                    <w:right w:val="nil"/>
                  </w:tcBorders>
                  <w:shd w:val="clear" w:color="auto" w:fill="auto"/>
                  <w:noWrap/>
                  <w:vAlign w:val="bottom"/>
                  <w:hideMark/>
                </w:tcPr>
                <w:p w14:paraId="2E3CF37D"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Bosch</w:t>
                  </w:r>
                </w:p>
              </w:tc>
            </w:tr>
            <w:tr w:rsidR="002A00D0" w:rsidRPr="002A00D0" w14:paraId="6B7415B7" w14:textId="77777777" w:rsidTr="001D448B">
              <w:trPr>
                <w:trHeight w:val="320"/>
              </w:trPr>
              <w:tc>
                <w:tcPr>
                  <w:tcW w:w="1300" w:type="dxa"/>
                  <w:tcBorders>
                    <w:top w:val="nil"/>
                    <w:left w:val="nil"/>
                    <w:bottom w:val="nil"/>
                    <w:right w:val="nil"/>
                  </w:tcBorders>
                  <w:shd w:val="clear" w:color="auto" w:fill="auto"/>
                  <w:noWrap/>
                  <w:vAlign w:val="bottom"/>
                  <w:hideMark/>
                </w:tcPr>
                <w:p w14:paraId="3B54C9F2"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40</w:t>
                  </w:r>
                </w:p>
              </w:tc>
              <w:tc>
                <w:tcPr>
                  <w:tcW w:w="3362" w:type="dxa"/>
                  <w:tcBorders>
                    <w:top w:val="nil"/>
                    <w:left w:val="nil"/>
                    <w:bottom w:val="nil"/>
                    <w:right w:val="nil"/>
                  </w:tcBorders>
                  <w:shd w:val="clear" w:color="auto" w:fill="auto"/>
                  <w:noWrap/>
                  <w:vAlign w:val="bottom"/>
                  <w:hideMark/>
                </w:tcPr>
                <w:p w14:paraId="3ED423F4"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Bayer</w:t>
                  </w:r>
                </w:p>
              </w:tc>
            </w:tr>
            <w:tr w:rsidR="002A00D0" w:rsidRPr="002A00D0" w14:paraId="0030AB0B" w14:textId="77777777" w:rsidTr="001D448B">
              <w:trPr>
                <w:trHeight w:val="320"/>
              </w:trPr>
              <w:tc>
                <w:tcPr>
                  <w:tcW w:w="1300" w:type="dxa"/>
                  <w:tcBorders>
                    <w:top w:val="nil"/>
                    <w:left w:val="nil"/>
                    <w:bottom w:val="nil"/>
                    <w:right w:val="nil"/>
                  </w:tcBorders>
                  <w:shd w:val="clear" w:color="auto" w:fill="auto"/>
                  <w:noWrap/>
                  <w:vAlign w:val="bottom"/>
                  <w:hideMark/>
                </w:tcPr>
                <w:p w14:paraId="5F71F1A8"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41</w:t>
                  </w:r>
                </w:p>
              </w:tc>
              <w:tc>
                <w:tcPr>
                  <w:tcW w:w="3362" w:type="dxa"/>
                  <w:tcBorders>
                    <w:top w:val="nil"/>
                    <w:left w:val="nil"/>
                    <w:bottom w:val="nil"/>
                    <w:right w:val="nil"/>
                  </w:tcBorders>
                  <w:shd w:val="clear" w:color="auto" w:fill="auto"/>
                  <w:noWrap/>
                  <w:vAlign w:val="bottom"/>
                  <w:hideMark/>
                </w:tcPr>
                <w:p w14:paraId="3150B4B1"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FrenchTelecom/Orange</w:t>
                  </w:r>
                </w:p>
              </w:tc>
            </w:tr>
            <w:tr w:rsidR="002A00D0" w:rsidRPr="002A00D0" w14:paraId="792C4AC2" w14:textId="77777777" w:rsidTr="001D448B">
              <w:trPr>
                <w:trHeight w:val="320"/>
              </w:trPr>
              <w:tc>
                <w:tcPr>
                  <w:tcW w:w="1300" w:type="dxa"/>
                  <w:tcBorders>
                    <w:top w:val="nil"/>
                    <w:left w:val="nil"/>
                    <w:bottom w:val="nil"/>
                    <w:right w:val="nil"/>
                  </w:tcBorders>
                  <w:shd w:val="clear" w:color="auto" w:fill="auto"/>
                  <w:noWrap/>
                  <w:vAlign w:val="bottom"/>
                  <w:hideMark/>
                </w:tcPr>
                <w:p w14:paraId="661E7612"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42</w:t>
                  </w:r>
                </w:p>
              </w:tc>
              <w:tc>
                <w:tcPr>
                  <w:tcW w:w="3362" w:type="dxa"/>
                  <w:tcBorders>
                    <w:top w:val="nil"/>
                    <w:left w:val="nil"/>
                    <w:bottom w:val="nil"/>
                    <w:right w:val="nil"/>
                  </w:tcBorders>
                  <w:shd w:val="clear" w:color="auto" w:fill="auto"/>
                  <w:noWrap/>
                  <w:vAlign w:val="bottom"/>
                  <w:hideMark/>
                </w:tcPr>
                <w:p w14:paraId="39A48FC5"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Repsol</w:t>
                  </w:r>
                </w:p>
              </w:tc>
            </w:tr>
            <w:tr w:rsidR="002A00D0" w:rsidRPr="002A00D0" w14:paraId="4FBC22F3" w14:textId="77777777" w:rsidTr="001D448B">
              <w:trPr>
                <w:trHeight w:val="320"/>
              </w:trPr>
              <w:tc>
                <w:tcPr>
                  <w:tcW w:w="1300" w:type="dxa"/>
                  <w:tcBorders>
                    <w:top w:val="nil"/>
                    <w:left w:val="nil"/>
                    <w:bottom w:val="nil"/>
                    <w:right w:val="nil"/>
                  </w:tcBorders>
                  <w:shd w:val="clear" w:color="auto" w:fill="auto"/>
                  <w:noWrap/>
                  <w:vAlign w:val="bottom"/>
                  <w:hideMark/>
                </w:tcPr>
                <w:p w14:paraId="333CFEA5"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43</w:t>
                  </w:r>
                </w:p>
              </w:tc>
              <w:tc>
                <w:tcPr>
                  <w:tcW w:w="3362" w:type="dxa"/>
                  <w:tcBorders>
                    <w:top w:val="nil"/>
                    <w:left w:val="nil"/>
                    <w:bottom w:val="nil"/>
                    <w:right w:val="nil"/>
                  </w:tcBorders>
                  <w:shd w:val="clear" w:color="auto" w:fill="auto"/>
                  <w:noWrap/>
                  <w:vAlign w:val="bottom"/>
                  <w:hideMark/>
                </w:tcPr>
                <w:p w14:paraId="4601D7AF"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CNP Assurances</w:t>
                  </w:r>
                </w:p>
              </w:tc>
            </w:tr>
            <w:tr w:rsidR="002A00D0" w:rsidRPr="002A00D0" w14:paraId="29DF04A6" w14:textId="77777777" w:rsidTr="001D448B">
              <w:trPr>
                <w:trHeight w:val="320"/>
              </w:trPr>
              <w:tc>
                <w:tcPr>
                  <w:tcW w:w="1300" w:type="dxa"/>
                  <w:tcBorders>
                    <w:top w:val="nil"/>
                    <w:left w:val="nil"/>
                    <w:bottom w:val="nil"/>
                    <w:right w:val="nil"/>
                  </w:tcBorders>
                  <w:shd w:val="clear" w:color="auto" w:fill="auto"/>
                  <w:noWrap/>
                  <w:vAlign w:val="bottom"/>
                  <w:hideMark/>
                </w:tcPr>
                <w:p w14:paraId="7F959DF7"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44</w:t>
                  </w:r>
                </w:p>
              </w:tc>
              <w:tc>
                <w:tcPr>
                  <w:tcW w:w="3362" w:type="dxa"/>
                  <w:tcBorders>
                    <w:top w:val="nil"/>
                    <w:left w:val="nil"/>
                    <w:bottom w:val="nil"/>
                    <w:right w:val="nil"/>
                  </w:tcBorders>
                  <w:shd w:val="clear" w:color="auto" w:fill="auto"/>
                  <w:noWrap/>
                  <w:vAlign w:val="bottom"/>
                  <w:hideMark/>
                </w:tcPr>
                <w:p w14:paraId="29D9F6D5"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Commerzbank</w:t>
                  </w:r>
                </w:p>
              </w:tc>
            </w:tr>
            <w:tr w:rsidR="002A00D0" w:rsidRPr="002A00D0" w14:paraId="6094D90A" w14:textId="77777777" w:rsidTr="001D448B">
              <w:trPr>
                <w:trHeight w:val="320"/>
              </w:trPr>
              <w:tc>
                <w:tcPr>
                  <w:tcW w:w="1300" w:type="dxa"/>
                  <w:tcBorders>
                    <w:top w:val="nil"/>
                    <w:left w:val="nil"/>
                    <w:bottom w:val="nil"/>
                    <w:right w:val="nil"/>
                  </w:tcBorders>
                  <w:shd w:val="clear" w:color="auto" w:fill="auto"/>
                  <w:noWrap/>
                  <w:vAlign w:val="bottom"/>
                  <w:hideMark/>
                </w:tcPr>
                <w:p w14:paraId="6BC221C7"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45</w:t>
                  </w:r>
                </w:p>
              </w:tc>
              <w:tc>
                <w:tcPr>
                  <w:tcW w:w="3362" w:type="dxa"/>
                  <w:tcBorders>
                    <w:top w:val="nil"/>
                    <w:left w:val="nil"/>
                    <w:bottom w:val="nil"/>
                    <w:right w:val="nil"/>
                  </w:tcBorders>
                  <w:shd w:val="clear" w:color="auto" w:fill="auto"/>
                  <w:noWrap/>
                  <w:vAlign w:val="bottom"/>
                  <w:hideMark/>
                </w:tcPr>
                <w:p w14:paraId="1196C875"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Sainsbury</w:t>
                  </w:r>
                </w:p>
              </w:tc>
            </w:tr>
            <w:tr w:rsidR="002A00D0" w:rsidRPr="002A00D0" w14:paraId="558D09E6" w14:textId="77777777" w:rsidTr="001D448B">
              <w:trPr>
                <w:trHeight w:val="320"/>
              </w:trPr>
              <w:tc>
                <w:tcPr>
                  <w:tcW w:w="1300" w:type="dxa"/>
                  <w:tcBorders>
                    <w:top w:val="nil"/>
                    <w:left w:val="nil"/>
                    <w:bottom w:val="nil"/>
                    <w:right w:val="nil"/>
                  </w:tcBorders>
                  <w:shd w:val="clear" w:color="auto" w:fill="auto"/>
                  <w:noWrap/>
                  <w:vAlign w:val="bottom"/>
                  <w:hideMark/>
                </w:tcPr>
                <w:p w14:paraId="495738BD"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46</w:t>
                  </w:r>
                </w:p>
              </w:tc>
              <w:tc>
                <w:tcPr>
                  <w:tcW w:w="3362" w:type="dxa"/>
                  <w:tcBorders>
                    <w:top w:val="nil"/>
                    <w:left w:val="nil"/>
                    <w:bottom w:val="nil"/>
                    <w:right w:val="nil"/>
                  </w:tcBorders>
                  <w:shd w:val="clear" w:color="auto" w:fill="auto"/>
                  <w:noWrap/>
                  <w:vAlign w:val="bottom"/>
                  <w:hideMark/>
                </w:tcPr>
                <w:p w14:paraId="322877EA"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Ericsson</w:t>
                  </w:r>
                </w:p>
              </w:tc>
            </w:tr>
            <w:tr w:rsidR="002A00D0" w:rsidRPr="002A00D0" w14:paraId="572AA535" w14:textId="77777777" w:rsidTr="001D448B">
              <w:trPr>
                <w:trHeight w:val="320"/>
              </w:trPr>
              <w:tc>
                <w:tcPr>
                  <w:tcW w:w="1300" w:type="dxa"/>
                  <w:tcBorders>
                    <w:top w:val="nil"/>
                    <w:left w:val="nil"/>
                    <w:bottom w:val="nil"/>
                    <w:right w:val="nil"/>
                  </w:tcBorders>
                  <w:shd w:val="clear" w:color="auto" w:fill="auto"/>
                  <w:noWrap/>
                  <w:vAlign w:val="bottom"/>
                  <w:hideMark/>
                </w:tcPr>
                <w:p w14:paraId="1EC197BF"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47</w:t>
                  </w:r>
                </w:p>
              </w:tc>
              <w:tc>
                <w:tcPr>
                  <w:tcW w:w="3362" w:type="dxa"/>
                  <w:tcBorders>
                    <w:top w:val="nil"/>
                    <w:left w:val="nil"/>
                    <w:bottom w:val="nil"/>
                    <w:right w:val="nil"/>
                  </w:tcBorders>
                  <w:shd w:val="clear" w:color="auto" w:fill="auto"/>
                  <w:noWrap/>
                  <w:vAlign w:val="bottom"/>
                  <w:hideMark/>
                </w:tcPr>
                <w:p w14:paraId="03E7300A"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RSA Insurance Group</w:t>
                  </w:r>
                </w:p>
              </w:tc>
            </w:tr>
            <w:tr w:rsidR="002A00D0" w:rsidRPr="002A00D0" w14:paraId="75DD10D2" w14:textId="77777777" w:rsidTr="001D448B">
              <w:trPr>
                <w:trHeight w:val="320"/>
              </w:trPr>
              <w:tc>
                <w:tcPr>
                  <w:tcW w:w="1300" w:type="dxa"/>
                  <w:tcBorders>
                    <w:top w:val="nil"/>
                    <w:left w:val="nil"/>
                    <w:bottom w:val="nil"/>
                    <w:right w:val="nil"/>
                  </w:tcBorders>
                  <w:shd w:val="clear" w:color="auto" w:fill="auto"/>
                  <w:noWrap/>
                  <w:vAlign w:val="bottom"/>
                  <w:hideMark/>
                </w:tcPr>
                <w:p w14:paraId="1A10B73A"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48</w:t>
                  </w:r>
                </w:p>
              </w:tc>
              <w:tc>
                <w:tcPr>
                  <w:tcW w:w="3362" w:type="dxa"/>
                  <w:tcBorders>
                    <w:top w:val="nil"/>
                    <w:left w:val="nil"/>
                    <w:bottom w:val="nil"/>
                    <w:right w:val="nil"/>
                  </w:tcBorders>
                  <w:shd w:val="clear" w:color="auto" w:fill="auto"/>
                  <w:noWrap/>
                  <w:vAlign w:val="bottom"/>
                  <w:hideMark/>
                </w:tcPr>
                <w:p w14:paraId="0E51DECD"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Banco Santander</w:t>
                  </w:r>
                </w:p>
              </w:tc>
            </w:tr>
            <w:tr w:rsidR="002A00D0" w:rsidRPr="002A00D0" w14:paraId="57579A2D" w14:textId="77777777" w:rsidTr="001D448B">
              <w:trPr>
                <w:trHeight w:val="320"/>
              </w:trPr>
              <w:tc>
                <w:tcPr>
                  <w:tcW w:w="1300" w:type="dxa"/>
                  <w:tcBorders>
                    <w:top w:val="nil"/>
                    <w:left w:val="nil"/>
                    <w:bottom w:val="nil"/>
                    <w:right w:val="nil"/>
                  </w:tcBorders>
                  <w:shd w:val="clear" w:color="auto" w:fill="auto"/>
                  <w:noWrap/>
                  <w:vAlign w:val="bottom"/>
                  <w:hideMark/>
                </w:tcPr>
                <w:p w14:paraId="3CDB4AE4" w14:textId="77777777" w:rsidR="002A00D0" w:rsidRPr="002A00D0" w:rsidRDefault="002A00D0" w:rsidP="001D448B">
                  <w:pPr>
                    <w:jc w:val="right"/>
                    <w:rPr>
                      <w:rFonts w:ascii="Calibri" w:eastAsia="Times New Roman" w:hAnsi="Calibri" w:cs="Times New Roman"/>
                      <w:color w:val="000000"/>
                    </w:rPr>
                  </w:pPr>
                  <w:r w:rsidRPr="002A00D0">
                    <w:rPr>
                      <w:rFonts w:ascii="Calibri" w:eastAsia="Times New Roman" w:hAnsi="Calibri" w:cs="Times New Roman"/>
                      <w:color w:val="000000"/>
                    </w:rPr>
                    <w:t>49</w:t>
                  </w:r>
                </w:p>
              </w:tc>
              <w:tc>
                <w:tcPr>
                  <w:tcW w:w="3362" w:type="dxa"/>
                  <w:tcBorders>
                    <w:top w:val="nil"/>
                    <w:left w:val="nil"/>
                    <w:bottom w:val="nil"/>
                    <w:right w:val="nil"/>
                  </w:tcBorders>
                  <w:shd w:val="clear" w:color="auto" w:fill="auto"/>
                  <w:noWrap/>
                  <w:vAlign w:val="bottom"/>
                  <w:hideMark/>
                </w:tcPr>
                <w:p w14:paraId="43D4D762" w14:textId="77777777" w:rsidR="002A00D0" w:rsidRPr="002A00D0" w:rsidRDefault="002A00D0" w:rsidP="001D448B">
                  <w:pPr>
                    <w:rPr>
                      <w:rFonts w:ascii="Calibri" w:eastAsia="Times New Roman" w:hAnsi="Calibri" w:cs="Times New Roman"/>
                      <w:color w:val="000000"/>
                    </w:rPr>
                  </w:pPr>
                  <w:r w:rsidRPr="002A00D0">
                    <w:rPr>
                      <w:rFonts w:ascii="Calibri" w:eastAsia="Times New Roman" w:hAnsi="Calibri" w:cs="Times New Roman"/>
                      <w:color w:val="000000"/>
                    </w:rPr>
                    <w:t>Deutsche Post</w:t>
                  </w:r>
                </w:p>
              </w:tc>
            </w:tr>
          </w:tbl>
          <w:p w14:paraId="56C28670" w14:textId="77777777" w:rsidR="002A00D0" w:rsidRDefault="002A00D0"/>
        </w:tc>
      </w:tr>
    </w:tbl>
    <w:p w14:paraId="2BE640A6" w14:textId="77777777" w:rsidR="002A00D0" w:rsidRDefault="002A00D0" w:rsidP="002A00D0">
      <w:pPr>
        <w:rPr>
          <w:rFonts w:ascii="Times New Roman" w:hAnsi="Times New Roman" w:cs="Times New Roman"/>
        </w:rPr>
      </w:pPr>
    </w:p>
    <w:p w14:paraId="261B648F" w14:textId="4B5F1E7F" w:rsidR="002A00D0" w:rsidRDefault="002A00D0" w:rsidP="002A00D0">
      <w:pPr>
        <w:rPr>
          <w:rFonts w:ascii="Times New Roman" w:hAnsi="Times New Roman" w:cs="Times New Roman"/>
        </w:rPr>
      </w:pPr>
      <w:r>
        <w:rPr>
          <w:rFonts w:ascii="Times New Roman" w:hAnsi="Times New Roman" w:cs="Times New Roman"/>
        </w:rPr>
        <w:t>Non-firms Included:</w:t>
      </w:r>
    </w:p>
    <w:p w14:paraId="03ED8DA1" w14:textId="77777777" w:rsidR="002A00D0" w:rsidRDefault="002A00D0" w:rsidP="002A00D0">
      <w:pPr>
        <w:rPr>
          <w:rFonts w:ascii="Times New Roman" w:hAnsi="Times New Roman" w:cs="Times New Roman"/>
        </w:rPr>
      </w:pPr>
    </w:p>
    <w:tbl>
      <w:tblPr>
        <w:tblStyle w:val="TableGrid"/>
        <w:tblW w:w="0" w:type="auto"/>
        <w:tblLook w:val="04A0" w:firstRow="1" w:lastRow="0" w:firstColumn="1" w:lastColumn="0" w:noHBand="0" w:noVBand="1"/>
      </w:tblPr>
      <w:tblGrid>
        <w:gridCol w:w="9350"/>
      </w:tblGrid>
      <w:tr w:rsidR="002A00D0" w14:paraId="7D2999DC" w14:textId="77777777" w:rsidTr="002A00D0">
        <w:tc>
          <w:tcPr>
            <w:tcW w:w="9350" w:type="dxa"/>
          </w:tcPr>
          <w:tbl>
            <w:tblPr>
              <w:tblW w:w="5528" w:type="dxa"/>
              <w:tblLook w:val="04A0" w:firstRow="1" w:lastRow="0" w:firstColumn="1" w:lastColumn="0" w:noHBand="0" w:noVBand="1"/>
            </w:tblPr>
            <w:tblGrid>
              <w:gridCol w:w="5528"/>
            </w:tblGrid>
            <w:tr w:rsidR="002A00D0" w:rsidRPr="002A00D0" w14:paraId="623D5BF5" w14:textId="77777777" w:rsidTr="00434DCA">
              <w:trPr>
                <w:trHeight w:val="320"/>
              </w:trPr>
              <w:tc>
                <w:tcPr>
                  <w:tcW w:w="5528" w:type="dxa"/>
                  <w:tcBorders>
                    <w:top w:val="nil"/>
                    <w:left w:val="nil"/>
                    <w:bottom w:val="nil"/>
                    <w:right w:val="nil"/>
                  </w:tcBorders>
                  <w:shd w:val="clear" w:color="auto" w:fill="auto"/>
                  <w:noWrap/>
                  <w:vAlign w:val="bottom"/>
                  <w:hideMark/>
                </w:tcPr>
                <w:p w14:paraId="08633D8F"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UK Govt</w:t>
                  </w:r>
                </w:p>
              </w:tc>
            </w:tr>
            <w:tr w:rsidR="002A00D0" w:rsidRPr="002A00D0" w14:paraId="2C963FDF" w14:textId="77777777" w:rsidTr="00434DCA">
              <w:trPr>
                <w:trHeight w:val="320"/>
              </w:trPr>
              <w:tc>
                <w:tcPr>
                  <w:tcW w:w="5528" w:type="dxa"/>
                  <w:tcBorders>
                    <w:top w:val="nil"/>
                    <w:left w:val="nil"/>
                    <w:bottom w:val="nil"/>
                    <w:right w:val="nil"/>
                  </w:tcBorders>
                  <w:shd w:val="clear" w:color="auto" w:fill="auto"/>
                  <w:noWrap/>
                  <w:vAlign w:val="bottom"/>
                  <w:hideMark/>
                </w:tcPr>
                <w:p w14:paraId="66FDAB01"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UK Universities and Research Institutions</w:t>
                  </w:r>
                </w:p>
              </w:tc>
            </w:tr>
            <w:tr w:rsidR="002A00D0" w:rsidRPr="002A00D0" w14:paraId="4874C908" w14:textId="77777777" w:rsidTr="00434DCA">
              <w:trPr>
                <w:trHeight w:val="320"/>
              </w:trPr>
              <w:tc>
                <w:tcPr>
                  <w:tcW w:w="5528" w:type="dxa"/>
                  <w:tcBorders>
                    <w:top w:val="nil"/>
                    <w:left w:val="nil"/>
                    <w:bottom w:val="nil"/>
                    <w:right w:val="nil"/>
                  </w:tcBorders>
                  <w:shd w:val="clear" w:color="auto" w:fill="auto"/>
                  <w:noWrap/>
                  <w:vAlign w:val="bottom"/>
                  <w:hideMark/>
                </w:tcPr>
                <w:p w14:paraId="1B1D272E"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US Govt</w:t>
                  </w:r>
                </w:p>
              </w:tc>
            </w:tr>
            <w:tr w:rsidR="002A00D0" w:rsidRPr="002A00D0" w14:paraId="17E08109" w14:textId="77777777" w:rsidTr="00434DCA">
              <w:trPr>
                <w:trHeight w:val="320"/>
              </w:trPr>
              <w:tc>
                <w:tcPr>
                  <w:tcW w:w="5528" w:type="dxa"/>
                  <w:tcBorders>
                    <w:top w:val="nil"/>
                    <w:left w:val="nil"/>
                    <w:bottom w:val="nil"/>
                    <w:right w:val="nil"/>
                  </w:tcBorders>
                  <w:shd w:val="clear" w:color="auto" w:fill="auto"/>
                  <w:noWrap/>
                  <w:vAlign w:val="bottom"/>
                  <w:hideMark/>
                </w:tcPr>
                <w:p w14:paraId="43511006"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US Universities and Research Instutions</w:t>
                  </w:r>
                </w:p>
              </w:tc>
            </w:tr>
            <w:tr w:rsidR="002A00D0" w:rsidRPr="002A00D0" w14:paraId="453197AB" w14:textId="77777777" w:rsidTr="00434DCA">
              <w:trPr>
                <w:trHeight w:val="320"/>
              </w:trPr>
              <w:tc>
                <w:tcPr>
                  <w:tcW w:w="5528" w:type="dxa"/>
                  <w:tcBorders>
                    <w:top w:val="nil"/>
                    <w:left w:val="nil"/>
                    <w:bottom w:val="nil"/>
                    <w:right w:val="nil"/>
                  </w:tcBorders>
                  <w:shd w:val="clear" w:color="auto" w:fill="auto"/>
                  <w:noWrap/>
                  <w:vAlign w:val="bottom"/>
                  <w:hideMark/>
                </w:tcPr>
                <w:p w14:paraId="1AC2FB5B"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German Govt</w:t>
                  </w:r>
                </w:p>
              </w:tc>
            </w:tr>
            <w:tr w:rsidR="002A00D0" w:rsidRPr="002A00D0" w14:paraId="4613A3FB" w14:textId="77777777" w:rsidTr="00434DCA">
              <w:trPr>
                <w:trHeight w:val="320"/>
              </w:trPr>
              <w:tc>
                <w:tcPr>
                  <w:tcW w:w="5528" w:type="dxa"/>
                  <w:tcBorders>
                    <w:top w:val="nil"/>
                    <w:left w:val="nil"/>
                    <w:bottom w:val="nil"/>
                    <w:right w:val="nil"/>
                  </w:tcBorders>
                  <w:shd w:val="clear" w:color="auto" w:fill="auto"/>
                  <w:noWrap/>
                  <w:vAlign w:val="bottom"/>
                  <w:hideMark/>
                </w:tcPr>
                <w:p w14:paraId="1A944B26"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German Universities and Research Institutes</w:t>
                  </w:r>
                </w:p>
              </w:tc>
            </w:tr>
            <w:tr w:rsidR="002A00D0" w:rsidRPr="002A00D0" w14:paraId="1C2809D8" w14:textId="77777777" w:rsidTr="00434DCA">
              <w:trPr>
                <w:trHeight w:val="320"/>
              </w:trPr>
              <w:tc>
                <w:tcPr>
                  <w:tcW w:w="5528" w:type="dxa"/>
                  <w:tcBorders>
                    <w:top w:val="nil"/>
                    <w:left w:val="nil"/>
                    <w:bottom w:val="nil"/>
                    <w:right w:val="nil"/>
                  </w:tcBorders>
                  <w:shd w:val="clear" w:color="auto" w:fill="auto"/>
                  <w:noWrap/>
                  <w:vAlign w:val="bottom"/>
                  <w:hideMark/>
                </w:tcPr>
                <w:p w14:paraId="7A86B058"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French Govt</w:t>
                  </w:r>
                </w:p>
              </w:tc>
            </w:tr>
            <w:tr w:rsidR="002A00D0" w:rsidRPr="002A00D0" w14:paraId="0FF5E7E1" w14:textId="77777777" w:rsidTr="00434DCA">
              <w:trPr>
                <w:trHeight w:val="320"/>
              </w:trPr>
              <w:tc>
                <w:tcPr>
                  <w:tcW w:w="5528" w:type="dxa"/>
                  <w:tcBorders>
                    <w:top w:val="nil"/>
                    <w:left w:val="nil"/>
                    <w:bottom w:val="nil"/>
                    <w:right w:val="nil"/>
                  </w:tcBorders>
                  <w:shd w:val="clear" w:color="auto" w:fill="auto"/>
                  <w:noWrap/>
                  <w:vAlign w:val="bottom"/>
                  <w:hideMark/>
                </w:tcPr>
                <w:p w14:paraId="470E7045"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French Universities and Research Institutes</w:t>
                  </w:r>
                </w:p>
              </w:tc>
            </w:tr>
            <w:tr w:rsidR="002A00D0" w:rsidRPr="002A00D0" w14:paraId="4999E2DD" w14:textId="77777777" w:rsidTr="00434DCA">
              <w:trPr>
                <w:trHeight w:val="320"/>
              </w:trPr>
              <w:tc>
                <w:tcPr>
                  <w:tcW w:w="5528" w:type="dxa"/>
                  <w:tcBorders>
                    <w:top w:val="nil"/>
                    <w:left w:val="nil"/>
                    <w:bottom w:val="nil"/>
                    <w:right w:val="nil"/>
                  </w:tcBorders>
                  <w:shd w:val="clear" w:color="auto" w:fill="auto"/>
                  <w:noWrap/>
                  <w:vAlign w:val="bottom"/>
                  <w:hideMark/>
                </w:tcPr>
                <w:p w14:paraId="67CD49EC"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 xml:space="preserve">Dutch and Belgian Govt </w:t>
                  </w:r>
                </w:p>
              </w:tc>
            </w:tr>
            <w:tr w:rsidR="002A00D0" w:rsidRPr="002A00D0" w14:paraId="4EFC816C" w14:textId="77777777" w:rsidTr="00434DCA">
              <w:trPr>
                <w:trHeight w:val="320"/>
              </w:trPr>
              <w:tc>
                <w:tcPr>
                  <w:tcW w:w="5528" w:type="dxa"/>
                  <w:tcBorders>
                    <w:top w:val="nil"/>
                    <w:left w:val="nil"/>
                    <w:bottom w:val="nil"/>
                    <w:right w:val="nil"/>
                  </w:tcBorders>
                  <w:shd w:val="clear" w:color="auto" w:fill="auto"/>
                  <w:noWrap/>
                  <w:vAlign w:val="bottom"/>
                  <w:hideMark/>
                </w:tcPr>
                <w:p w14:paraId="2FA102FD"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Dutch and Belgian Universities and Research Institutes</w:t>
                  </w:r>
                </w:p>
              </w:tc>
            </w:tr>
            <w:tr w:rsidR="002A00D0" w:rsidRPr="002A00D0" w14:paraId="70A44D44" w14:textId="77777777" w:rsidTr="00434DCA">
              <w:trPr>
                <w:trHeight w:val="320"/>
              </w:trPr>
              <w:tc>
                <w:tcPr>
                  <w:tcW w:w="5528" w:type="dxa"/>
                  <w:tcBorders>
                    <w:top w:val="nil"/>
                    <w:left w:val="nil"/>
                    <w:bottom w:val="nil"/>
                    <w:right w:val="nil"/>
                  </w:tcBorders>
                  <w:shd w:val="clear" w:color="auto" w:fill="auto"/>
                  <w:noWrap/>
                  <w:vAlign w:val="bottom"/>
                  <w:hideMark/>
                </w:tcPr>
                <w:p w14:paraId="47FDDA16"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Italian Govt</w:t>
                  </w:r>
                </w:p>
              </w:tc>
            </w:tr>
            <w:tr w:rsidR="002A00D0" w:rsidRPr="002A00D0" w14:paraId="0FD8719B" w14:textId="77777777" w:rsidTr="00434DCA">
              <w:trPr>
                <w:trHeight w:val="320"/>
              </w:trPr>
              <w:tc>
                <w:tcPr>
                  <w:tcW w:w="5528" w:type="dxa"/>
                  <w:tcBorders>
                    <w:top w:val="nil"/>
                    <w:left w:val="nil"/>
                    <w:bottom w:val="nil"/>
                    <w:right w:val="nil"/>
                  </w:tcBorders>
                  <w:shd w:val="clear" w:color="auto" w:fill="auto"/>
                  <w:noWrap/>
                  <w:vAlign w:val="bottom"/>
                  <w:hideMark/>
                </w:tcPr>
                <w:p w14:paraId="6A350A49"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Italian Universities and Research Institutes</w:t>
                  </w:r>
                </w:p>
              </w:tc>
            </w:tr>
            <w:tr w:rsidR="002A00D0" w:rsidRPr="002A00D0" w14:paraId="5AA68174" w14:textId="77777777" w:rsidTr="00434DCA">
              <w:trPr>
                <w:trHeight w:val="320"/>
              </w:trPr>
              <w:tc>
                <w:tcPr>
                  <w:tcW w:w="5528" w:type="dxa"/>
                  <w:tcBorders>
                    <w:top w:val="nil"/>
                    <w:left w:val="nil"/>
                    <w:bottom w:val="nil"/>
                    <w:right w:val="nil"/>
                  </w:tcBorders>
                  <w:shd w:val="clear" w:color="auto" w:fill="auto"/>
                  <w:noWrap/>
                  <w:vAlign w:val="bottom"/>
                  <w:hideMark/>
                </w:tcPr>
                <w:p w14:paraId="7D8B0E0A"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European Roundtables (Industrialists, Finance, Retailers)</w:t>
                  </w:r>
                </w:p>
              </w:tc>
            </w:tr>
            <w:tr w:rsidR="002A00D0" w:rsidRPr="002A00D0" w14:paraId="4D1B8D82" w14:textId="77777777" w:rsidTr="00434DCA">
              <w:trPr>
                <w:trHeight w:val="320"/>
              </w:trPr>
              <w:tc>
                <w:tcPr>
                  <w:tcW w:w="5528" w:type="dxa"/>
                  <w:tcBorders>
                    <w:top w:val="nil"/>
                    <w:left w:val="nil"/>
                    <w:bottom w:val="nil"/>
                    <w:right w:val="nil"/>
                  </w:tcBorders>
                  <w:shd w:val="clear" w:color="auto" w:fill="auto"/>
                  <w:noWrap/>
                  <w:vAlign w:val="bottom"/>
                  <w:hideMark/>
                </w:tcPr>
                <w:p w14:paraId="40C127AA"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World Economic Forum</w:t>
                  </w:r>
                </w:p>
              </w:tc>
            </w:tr>
            <w:tr w:rsidR="002A00D0" w:rsidRPr="002A00D0" w14:paraId="56C5383E" w14:textId="77777777" w:rsidTr="00434DCA">
              <w:trPr>
                <w:trHeight w:val="320"/>
              </w:trPr>
              <w:tc>
                <w:tcPr>
                  <w:tcW w:w="5528" w:type="dxa"/>
                  <w:tcBorders>
                    <w:top w:val="nil"/>
                    <w:left w:val="nil"/>
                    <w:bottom w:val="nil"/>
                    <w:right w:val="nil"/>
                  </w:tcBorders>
                  <w:shd w:val="clear" w:color="auto" w:fill="auto"/>
                  <w:noWrap/>
                  <w:vAlign w:val="bottom"/>
                  <w:hideMark/>
                </w:tcPr>
                <w:p w14:paraId="35108B85"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IMF, World Bank, BIS, WTO, OECD, and similar</w:t>
                  </w:r>
                </w:p>
              </w:tc>
            </w:tr>
            <w:tr w:rsidR="002A00D0" w:rsidRPr="002A00D0" w14:paraId="425DA30A" w14:textId="77777777" w:rsidTr="00434DCA">
              <w:trPr>
                <w:trHeight w:val="320"/>
              </w:trPr>
              <w:tc>
                <w:tcPr>
                  <w:tcW w:w="5528" w:type="dxa"/>
                  <w:tcBorders>
                    <w:top w:val="nil"/>
                    <w:left w:val="nil"/>
                    <w:bottom w:val="nil"/>
                    <w:right w:val="nil"/>
                  </w:tcBorders>
                  <w:shd w:val="clear" w:color="auto" w:fill="auto"/>
                  <w:noWrap/>
                  <w:vAlign w:val="bottom"/>
                  <w:hideMark/>
                </w:tcPr>
                <w:p w14:paraId="670B94F0"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Spanish Govt</w:t>
                  </w:r>
                </w:p>
              </w:tc>
            </w:tr>
            <w:tr w:rsidR="002A00D0" w:rsidRPr="002A00D0" w14:paraId="68FD13EC" w14:textId="77777777" w:rsidTr="00434DCA">
              <w:trPr>
                <w:trHeight w:val="320"/>
              </w:trPr>
              <w:tc>
                <w:tcPr>
                  <w:tcW w:w="5528" w:type="dxa"/>
                  <w:tcBorders>
                    <w:top w:val="nil"/>
                    <w:left w:val="nil"/>
                    <w:bottom w:val="nil"/>
                    <w:right w:val="nil"/>
                  </w:tcBorders>
                  <w:shd w:val="clear" w:color="auto" w:fill="auto"/>
                  <w:noWrap/>
                  <w:vAlign w:val="bottom"/>
                  <w:hideMark/>
                </w:tcPr>
                <w:p w14:paraId="1D448709"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Spanish Universities and Research Institutes</w:t>
                  </w:r>
                </w:p>
              </w:tc>
            </w:tr>
            <w:tr w:rsidR="002A00D0" w:rsidRPr="002A00D0" w14:paraId="198E1C6B" w14:textId="77777777" w:rsidTr="00434DCA">
              <w:trPr>
                <w:trHeight w:val="320"/>
              </w:trPr>
              <w:tc>
                <w:tcPr>
                  <w:tcW w:w="5528" w:type="dxa"/>
                  <w:tcBorders>
                    <w:top w:val="nil"/>
                    <w:left w:val="nil"/>
                    <w:bottom w:val="nil"/>
                    <w:right w:val="nil"/>
                  </w:tcBorders>
                  <w:shd w:val="clear" w:color="auto" w:fill="auto"/>
                  <w:noWrap/>
                  <w:vAlign w:val="bottom"/>
                  <w:hideMark/>
                </w:tcPr>
                <w:p w14:paraId="4FF232A7"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European Commission</w:t>
                  </w:r>
                </w:p>
              </w:tc>
            </w:tr>
            <w:tr w:rsidR="002A00D0" w:rsidRPr="002A00D0" w14:paraId="18D7A2D1" w14:textId="77777777" w:rsidTr="00434DCA">
              <w:trPr>
                <w:trHeight w:val="320"/>
              </w:trPr>
              <w:tc>
                <w:tcPr>
                  <w:tcW w:w="5528" w:type="dxa"/>
                  <w:tcBorders>
                    <w:top w:val="nil"/>
                    <w:left w:val="nil"/>
                    <w:bottom w:val="nil"/>
                    <w:right w:val="nil"/>
                  </w:tcBorders>
                  <w:shd w:val="clear" w:color="auto" w:fill="auto"/>
                  <w:noWrap/>
                  <w:vAlign w:val="bottom"/>
                  <w:hideMark/>
                </w:tcPr>
                <w:p w14:paraId="7BE4EFFC"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European Level Institutes and Universities</w:t>
                  </w:r>
                </w:p>
              </w:tc>
            </w:tr>
            <w:tr w:rsidR="002A00D0" w:rsidRPr="002A00D0" w14:paraId="14EE4206" w14:textId="77777777" w:rsidTr="00434DCA">
              <w:trPr>
                <w:trHeight w:val="320"/>
              </w:trPr>
              <w:tc>
                <w:tcPr>
                  <w:tcW w:w="5528" w:type="dxa"/>
                  <w:tcBorders>
                    <w:top w:val="nil"/>
                    <w:left w:val="nil"/>
                    <w:bottom w:val="nil"/>
                    <w:right w:val="nil"/>
                  </w:tcBorders>
                  <w:shd w:val="clear" w:color="auto" w:fill="auto"/>
                  <w:noWrap/>
                  <w:vAlign w:val="bottom"/>
                  <w:hideMark/>
                </w:tcPr>
                <w:p w14:paraId="238DE09A"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Other Govt</w:t>
                  </w:r>
                </w:p>
              </w:tc>
            </w:tr>
            <w:tr w:rsidR="002A00D0" w:rsidRPr="002A00D0" w14:paraId="092513DC" w14:textId="77777777" w:rsidTr="00434DCA">
              <w:trPr>
                <w:trHeight w:val="320"/>
              </w:trPr>
              <w:tc>
                <w:tcPr>
                  <w:tcW w:w="5528" w:type="dxa"/>
                  <w:tcBorders>
                    <w:top w:val="nil"/>
                    <w:left w:val="nil"/>
                    <w:bottom w:val="nil"/>
                    <w:right w:val="nil"/>
                  </w:tcBorders>
                  <w:shd w:val="clear" w:color="auto" w:fill="auto"/>
                  <w:noWrap/>
                  <w:vAlign w:val="bottom"/>
                  <w:hideMark/>
                </w:tcPr>
                <w:p w14:paraId="13679E00" w14:textId="77777777" w:rsidR="002A00D0" w:rsidRPr="002A00D0" w:rsidRDefault="002A00D0" w:rsidP="00434DCA">
                  <w:pPr>
                    <w:rPr>
                      <w:rFonts w:ascii="Calibri" w:eastAsia="Times New Roman" w:hAnsi="Calibri" w:cs="Times New Roman"/>
                      <w:color w:val="000000"/>
                    </w:rPr>
                  </w:pPr>
                  <w:r w:rsidRPr="002A00D0">
                    <w:rPr>
                      <w:rFonts w:ascii="Calibri" w:eastAsia="Times New Roman" w:hAnsi="Calibri" w:cs="Times New Roman"/>
                      <w:color w:val="000000"/>
                    </w:rPr>
                    <w:t>Other Universities/Research Institutes</w:t>
                  </w:r>
                </w:p>
              </w:tc>
            </w:tr>
          </w:tbl>
          <w:p w14:paraId="6E7798B0" w14:textId="77777777" w:rsidR="002A00D0" w:rsidRDefault="002A00D0"/>
        </w:tc>
      </w:tr>
    </w:tbl>
    <w:p w14:paraId="1B21D325" w14:textId="77777777" w:rsidR="002A00D0" w:rsidRDefault="002A00D0" w:rsidP="002A00D0">
      <w:pPr>
        <w:rPr>
          <w:rFonts w:ascii="Times New Roman" w:hAnsi="Times New Roman" w:cs="Times New Roman"/>
        </w:rPr>
      </w:pPr>
    </w:p>
    <w:p w14:paraId="21DC8770" w14:textId="7572175F" w:rsidR="002A00D0" w:rsidRDefault="002A00D0" w:rsidP="002A00D0">
      <w:pPr>
        <w:rPr>
          <w:rFonts w:ascii="Times New Roman" w:hAnsi="Times New Roman" w:cs="Times New Roman"/>
        </w:rPr>
      </w:pPr>
      <w:r>
        <w:rPr>
          <w:rFonts w:ascii="Times New Roman" w:hAnsi="Times New Roman" w:cs="Times New Roman"/>
        </w:rPr>
        <w:lastRenderedPageBreak/>
        <w:t>B: Network Models</w:t>
      </w:r>
    </w:p>
    <w:p w14:paraId="065BE7C3" w14:textId="77777777" w:rsidR="002755B7" w:rsidRDefault="002755B7" w:rsidP="002A00D0">
      <w:pPr>
        <w:rPr>
          <w:rFonts w:ascii="Times New Roman" w:hAnsi="Times New Roman" w:cs="Times New Roman"/>
        </w:rPr>
      </w:pPr>
    </w:p>
    <w:p w14:paraId="0ED6D37F" w14:textId="5BE2500C" w:rsidR="002755B7" w:rsidRDefault="002755B7" w:rsidP="002A00D0">
      <w:pPr>
        <w:rPr>
          <w:rFonts w:ascii="Times New Roman" w:hAnsi="Times New Roman" w:cs="Times New Roman"/>
        </w:rPr>
      </w:pPr>
      <w:r>
        <w:rPr>
          <w:rFonts w:ascii="Times New Roman" w:hAnsi="Times New Roman" w:cs="Times New Roman"/>
        </w:rPr>
        <w:t>2000:</w:t>
      </w:r>
    </w:p>
    <w:p w14:paraId="627C76B1" w14:textId="77777777" w:rsidR="002755B7" w:rsidRDefault="002755B7" w:rsidP="002A00D0">
      <w:pPr>
        <w:rPr>
          <w:rFonts w:ascii="Times New Roman" w:hAnsi="Times New Roman" w:cs="Times New Roman"/>
        </w:rPr>
      </w:pPr>
    </w:p>
    <w:p w14:paraId="1425BDD8" w14:textId="253BF1E1" w:rsidR="002755B7" w:rsidRDefault="002755B7" w:rsidP="002A00D0">
      <w:pPr>
        <w:rPr>
          <w:rFonts w:ascii="Times New Roman" w:hAnsi="Times New Roman" w:cs="Times New Roman"/>
        </w:rPr>
      </w:pPr>
      <w:r w:rsidRPr="002755B7">
        <w:rPr>
          <w:rFonts w:ascii="Times New Roman" w:hAnsi="Times New Roman" w:cs="Times New Roman"/>
        </w:rPr>
        <w:drawing>
          <wp:inline distT="0" distB="0" distL="0" distR="0" wp14:anchorId="07BB0C13" wp14:editId="169D8309">
            <wp:extent cx="5880735" cy="4472122"/>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21054" cy="4502783"/>
                    </a:xfrm>
                    <a:prstGeom prst="rect">
                      <a:avLst/>
                    </a:prstGeom>
                  </pic:spPr>
                </pic:pic>
              </a:graphicData>
            </a:graphic>
          </wp:inline>
        </w:drawing>
      </w:r>
    </w:p>
    <w:p w14:paraId="244490C2" w14:textId="77777777" w:rsidR="002A00D0" w:rsidRDefault="002A00D0" w:rsidP="002A00D0">
      <w:pPr>
        <w:rPr>
          <w:rFonts w:ascii="Times New Roman" w:hAnsi="Times New Roman" w:cs="Times New Roman"/>
        </w:rPr>
      </w:pPr>
    </w:p>
    <w:p w14:paraId="34F7A0DB" w14:textId="77777777" w:rsidR="002A00D0" w:rsidRDefault="002A00D0" w:rsidP="002A00D0">
      <w:pPr>
        <w:rPr>
          <w:rFonts w:ascii="Times New Roman" w:hAnsi="Times New Roman" w:cs="Times New Roman"/>
        </w:rPr>
      </w:pPr>
    </w:p>
    <w:p w14:paraId="02250D9D" w14:textId="77777777" w:rsidR="002755B7" w:rsidRDefault="002755B7">
      <w:pPr>
        <w:rPr>
          <w:rFonts w:ascii="Times New Roman" w:hAnsi="Times New Roman" w:cs="Times New Roman"/>
        </w:rPr>
      </w:pPr>
      <w:r>
        <w:rPr>
          <w:rFonts w:ascii="Times New Roman" w:hAnsi="Times New Roman" w:cs="Times New Roman"/>
        </w:rPr>
        <w:br w:type="page"/>
      </w:r>
    </w:p>
    <w:p w14:paraId="71F96620" w14:textId="5D46D9F9" w:rsidR="002755B7" w:rsidRDefault="002755B7" w:rsidP="002A00D0">
      <w:pPr>
        <w:rPr>
          <w:rFonts w:ascii="Times New Roman" w:hAnsi="Times New Roman" w:cs="Times New Roman"/>
        </w:rPr>
      </w:pPr>
      <w:r>
        <w:rPr>
          <w:rFonts w:ascii="Times New Roman" w:hAnsi="Times New Roman" w:cs="Times New Roman"/>
        </w:rPr>
        <w:lastRenderedPageBreak/>
        <w:t>2005:</w:t>
      </w:r>
    </w:p>
    <w:p w14:paraId="07CFDE8D" w14:textId="77777777" w:rsidR="002755B7" w:rsidRDefault="002755B7" w:rsidP="002A00D0">
      <w:pPr>
        <w:rPr>
          <w:rFonts w:ascii="Times New Roman" w:hAnsi="Times New Roman" w:cs="Times New Roman"/>
        </w:rPr>
      </w:pPr>
    </w:p>
    <w:p w14:paraId="385DE72E" w14:textId="4729EB11" w:rsidR="002755B7" w:rsidRDefault="002755B7" w:rsidP="002A00D0">
      <w:pPr>
        <w:rPr>
          <w:rFonts w:ascii="Times New Roman" w:hAnsi="Times New Roman" w:cs="Times New Roman"/>
        </w:rPr>
      </w:pPr>
      <w:r w:rsidRPr="002755B7">
        <w:rPr>
          <w:rFonts w:ascii="Times New Roman" w:hAnsi="Times New Roman" w:cs="Times New Roman"/>
        </w:rPr>
        <w:drawing>
          <wp:inline distT="0" distB="0" distL="0" distR="0" wp14:anchorId="1FD0EC84" wp14:editId="4CA7D297">
            <wp:extent cx="5943600" cy="37769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776980"/>
                    </a:xfrm>
                    <a:prstGeom prst="rect">
                      <a:avLst/>
                    </a:prstGeom>
                  </pic:spPr>
                </pic:pic>
              </a:graphicData>
            </a:graphic>
          </wp:inline>
        </w:drawing>
      </w:r>
    </w:p>
    <w:p w14:paraId="45F0C332" w14:textId="77777777" w:rsidR="002755B7" w:rsidRPr="002755B7" w:rsidRDefault="002755B7" w:rsidP="002755B7">
      <w:pPr>
        <w:rPr>
          <w:rFonts w:ascii="Times New Roman" w:hAnsi="Times New Roman" w:cs="Times New Roman"/>
        </w:rPr>
      </w:pPr>
    </w:p>
    <w:p w14:paraId="6FC130F0" w14:textId="77777777" w:rsidR="00375B4F" w:rsidRDefault="00375B4F">
      <w:pPr>
        <w:rPr>
          <w:rFonts w:ascii="Times New Roman" w:hAnsi="Times New Roman" w:cs="Times New Roman"/>
        </w:rPr>
      </w:pPr>
      <w:r>
        <w:rPr>
          <w:rFonts w:ascii="Times New Roman" w:hAnsi="Times New Roman" w:cs="Times New Roman"/>
        </w:rPr>
        <w:br w:type="page"/>
      </w:r>
    </w:p>
    <w:p w14:paraId="2E2BD8A6" w14:textId="6E7092EB" w:rsidR="002755B7" w:rsidRDefault="002755B7" w:rsidP="002755B7">
      <w:pPr>
        <w:rPr>
          <w:rFonts w:ascii="Times New Roman" w:hAnsi="Times New Roman" w:cs="Times New Roman"/>
        </w:rPr>
      </w:pPr>
      <w:r>
        <w:rPr>
          <w:rFonts w:ascii="Times New Roman" w:hAnsi="Times New Roman" w:cs="Times New Roman"/>
        </w:rPr>
        <w:lastRenderedPageBreak/>
        <w:t>2010:</w:t>
      </w:r>
    </w:p>
    <w:p w14:paraId="407D2E1B" w14:textId="77777777" w:rsidR="002755B7" w:rsidRDefault="002755B7" w:rsidP="002755B7">
      <w:pPr>
        <w:rPr>
          <w:rFonts w:ascii="Times New Roman" w:hAnsi="Times New Roman" w:cs="Times New Roman"/>
        </w:rPr>
      </w:pPr>
    </w:p>
    <w:p w14:paraId="4F443AF8" w14:textId="617F52DC" w:rsidR="00375B4F" w:rsidRDefault="00375B4F" w:rsidP="002755B7">
      <w:pPr>
        <w:rPr>
          <w:rFonts w:ascii="Times New Roman" w:hAnsi="Times New Roman" w:cs="Times New Roman"/>
        </w:rPr>
      </w:pPr>
      <w:r w:rsidRPr="00375B4F">
        <w:rPr>
          <w:rFonts w:ascii="Times New Roman" w:hAnsi="Times New Roman" w:cs="Times New Roman"/>
        </w:rPr>
        <w:drawing>
          <wp:inline distT="0" distB="0" distL="0" distR="0" wp14:anchorId="47EBCCA9" wp14:editId="5A28E89C">
            <wp:extent cx="5943600" cy="6160135"/>
            <wp:effectExtent l="0" t="0" r="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6160135"/>
                    </a:xfrm>
                    <a:prstGeom prst="rect">
                      <a:avLst/>
                    </a:prstGeom>
                  </pic:spPr>
                </pic:pic>
              </a:graphicData>
            </a:graphic>
          </wp:inline>
        </w:drawing>
      </w:r>
    </w:p>
    <w:p w14:paraId="2BDC71E5" w14:textId="77777777" w:rsidR="00375B4F" w:rsidRPr="00375B4F" w:rsidRDefault="00375B4F" w:rsidP="00375B4F">
      <w:pPr>
        <w:rPr>
          <w:rFonts w:ascii="Times New Roman" w:hAnsi="Times New Roman" w:cs="Times New Roman"/>
        </w:rPr>
      </w:pPr>
    </w:p>
    <w:p w14:paraId="785110E1" w14:textId="77777777" w:rsidR="00375B4F" w:rsidRPr="00375B4F" w:rsidRDefault="00375B4F" w:rsidP="00375B4F">
      <w:pPr>
        <w:rPr>
          <w:rFonts w:ascii="Times New Roman" w:hAnsi="Times New Roman" w:cs="Times New Roman"/>
        </w:rPr>
      </w:pPr>
    </w:p>
    <w:p w14:paraId="29F163EC" w14:textId="77777777" w:rsidR="00375B4F" w:rsidRPr="00375B4F" w:rsidRDefault="00375B4F" w:rsidP="00375B4F">
      <w:pPr>
        <w:rPr>
          <w:rFonts w:ascii="Times New Roman" w:hAnsi="Times New Roman" w:cs="Times New Roman"/>
        </w:rPr>
      </w:pPr>
    </w:p>
    <w:p w14:paraId="25B0AC1A" w14:textId="77777777" w:rsidR="00375B4F" w:rsidRPr="00375B4F" w:rsidRDefault="00375B4F" w:rsidP="00375B4F">
      <w:pPr>
        <w:rPr>
          <w:rFonts w:ascii="Times New Roman" w:hAnsi="Times New Roman" w:cs="Times New Roman"/>
        </w:rPr>
      </w:pPr>
    </w:p>
    <w:p w14:paraId="44743123" w14:textId="77777777" w:rsidR="00375B4F" w:rsidRPr="00375B4F" w:rsidRDefault="00375B4F" w:rsidP="00375B4F">
      <w:pPr>
        <w:rPr>
          <w:rFonts w:ascii="Times New Roman" w:hAnsi="Times New Roman" w:cs="Times New Roman"/>
        </w:rPr>
      </w:pPr>
    </w:p>
    <w:p w14:paraId="01464828" w14:textId="77777777" w:rsidR="00375B4F" w:rsidRDefault="00375B4F">
      <w:pPr>
        <w:rPr>
          <w:rFonts w:ascii="Times New Roman" w:hAnsi="Times New Roman" w:cs="Times New Roman"/>
        </w:rPr>
      </w:pPr>
      <w:r>
        <w:rPr>
          <w:rFonts w:ascii="Times New Roman" w:hAnsi="Times New Roman" w:cs="Times New Roman"/>
        </w:rPr>
        <w:br w:type="page"/>
      </w:r>
    </w:p>
    <w:p w14:paraId="6C9A9C82" w14:textId="33EC09F2" w:rsidR="002755B7" w:rsidRDefault="00375B4F" w:rsidP="00375B4F">
      <w:pPr>
        <w:rPr>
          <w:rFonts w:ascii="Times New Roman" w:hAnsi="Times New Roman" w:cs="Times New Roman"/>
        </w:rPr>
      </w:pPr>
      <w:r>
        <w:rPr>
          <w:rFonts w:ascii="Times New Roman" w:hAnsi="Times New Roman" w:cs="Times New Roman"/>
        </w:rPr>
        <w:lastRenderedPageBreak/>
        <w:t>2015:</w:t>
      </w:r>
    </w:p>
    <w:p w14:paraId="004AE5B3" w14:textId="77777777" w:rsidR="00375B4F" w:rsidRDefault="00375B4F" w:rsidP="00375B4F">
      <w:pPr>
        <w:rPr>
          <w:rFonts w:ascii="Times New Roman" w:hAnsi="Times New Roman" w:cs="Times New Roman"/>
        </w:rPr>
      </w:pPr>
    </w:p>
    <w:p w14:paraId="545ABC39" w14:textId="1A453832" w:rsidR="00375B4F" w:rsidRDefault="00375B4F" w:rsidP="00375B4F">
      <w:pPr>
        <w:rPr>
          <w:rFonts w:ascii="Times New Roman" w:hAnsi="Times New Roman" w:cs="Times New Roman"/>
        </w:rPr>
      </w:pPr>
      <w:r w:rsidRPr="00375B4F">
        <w:rPr>
          <w:rFonts w:ascii="Times New Roman" w:hAnsi="Times New Roman" w:cs="Times New Roman"/>
        </w:rPr>
        <w:drawing>
          <wp:inline distT="0" distB="0" distL="0" distR="0" wp14:anchorId="6C898478" wp14:editId="1E6DE6E4">
            <wp:extent cx="5943600" cy="5897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897880"/>
                    </a:xfrm>
                    <a:prstGeom prst="rect">
                      <a:avLst/>
                    </a:prstGeom>
                  </pic:spPr>
                </pic:pic>
              </a:graphicData>
            </a:graphic>
          </wp:inline>
        </w:drawing>
      </w:r>
    </w:p>
    <w:p w14:paraId="793F8361" w14:textId="77777777" w:rsidR="00375B4F" w:rsidRDefault="00375B4F" w:rsidP="00375B4F">
      <w:pPr>
        <w:rPr>
          <w:rFonts w:ascii="Times New Roman" w:hAnsi="Times New Roman" w:cs="Times New Roman"/>
        </w:rPr>
      </w:pPr>
    </w:p>
    <w:p w14:paraId="6338B3EE" w14:textId="77777777" w:rsidR="00375B4F" w:rsidRDefault="00375B4F">
      <w:pPr>
        <w:rPr>
          <w:rFonts w:ascii="Times New Roman" w:hAnsi="Times New Roman" w:cs="Times New Roman"/>
        </w:rPr>
      </w:pPr>
      <w:r>
        <w:rPr>
          <w:rFonts w:ascii="Times New Roman" w:hAnsi="Times New Roman" w:cs="Times New Roman"/>
        </w:rPr>
        <w:br w:type="page"/>
      </w:r>
    </w:p>
    <w:p w14:paraId="787F0DCE" w14:textId="19C2DA2D" w:rsidR="00375B4F" w:rsidRDefault="00375B4F" w:rsidP="00375B4F">
      <w:pPr>
        <w:rPr>
          <w:rFonts w:ascii="Times New Roman" w:hAnsi="Times New Roman" w:cs="Times New Roman"/>
        </w:rPr>
      </w:pPr>
      <w:r>
        <w:rPr>
          <w:rFonts w:ascii="Times New Roman" w:hAnsi="Times New Roman" w:cs="Times New Roman"/>
        </w:rPr>
        <w:lastRenderedPageBreak/>
        <w:t>2017:</w:t>
      </w:r>
    </w:p>
    <w:p w14:paraId="115BAB86" w14:textId="77777777" w:rsidR="00375B4F" w:rsidRDefault="00375B4F" w:rsidP="00375B4F">
      <w:pPr>
        <w:rPr>
          <w:rFonts w:ascii="Times New Roman" w:hAnsi="Times New Roman" w:cs="Times New Roman"/>
        </w:rPr>
      </w:pPr>
    </w:p>
    <w:p w14:paraId="04CFE30A" w14:textId="61764E54" w:rsidR="00375B4F" w:rsidRPr="00375B4F" w:rsidRDefault="00375B4F" w:rsidP="00375B4F">
      <w:pPr>
        <w:rPr>
          <w:rFonts w:ascii="Times New Roman" w:hAnsi="Times New Roman" w:cs="Times New Roman"/>
        </w:rPr>
      </w:pPr>
      <w:r w:rsidRPr="00375B4F">
        <w:rPr>
          <w:rFonts w:ascii="Times New Roman" w:hAnsi="Times New Roman" w:cs="Times New Roman"/>
        </w:rPr>
        <w:drawing>
          <wp:inline distT="0" distB="0" distL="0" distR="0" wp14:anchorId="12A7E1EE" wp14:editId="643173C8">
            <wp:extent cx="5943600" cy="5069205"/>
            <wp:effectExtent l="0" t="0" r="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069205"/>
                    </a:xfrm>
                    <a:prstGeom prst="rect">
                      <a:avLst/>
                    </a:prstGeom>
                  </pic:spPr>
                </pic:pic>
              </a:graphicData>
            </a:graphic>
          </wp:inline>
        </w:drawing>
      </w:r>
    </w:p>
    <w:sectPr w:rsidR="00375B4F" w:rsidRPr="00375B4F" w:rsidSect="005B35B7">
      <w:footerReference w:type="even" r:id="rId12"/>
      <w:foot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983BF9" w14:textId="77777777" w:rsidR="003B147A" w:rsidRDefault="003B147A" w:rsidP="00566CB6">
      <w:r>
        <w:separator/>
      </w:r>
    </w:p>
  </w:endnote>
  <w:endnote w:type="continuationSeparator" w:id="0">
    <w:p w14:paraId="0B00F7FA" w14:textId="77777777" w:rsidR="003B147A" w:rsidRDefault="003B147A" w:rsidP="00566C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A9876D" w14:textId="77777777" w:rsidR="00B93A1D" w:rsidRDefault="00B93A1D" w:rsidP="00B93A1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3200697" w14:textId="77777777" w:rsidR="00B93A1D" w:rsidRDefault="00B93A1D" w:rsidP="00566CB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A37D0D" w14:textId="77777777" w:rsidR="00B93A1D" w:rsidRDefault="00B93A1D" w:rsidP="00B93A1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97AFA">
      <w:rPr>
        <w:rStyle w:val="PageNumber"/>
        <w:noProof/>
      </w:rPr>
      <w:t>1</w:t>
    </w:r>
    <w:r>
      <w:rPr>
        <w:rStyle w:val="PageNumber"/>
      </w:rPr>
      <w:fldChar w:fldCharType="end"/>
    </w:r>
  </w:p>
  <w:p w14:paraId="6F43C32D" w14:textId="77777777" w:rsidR="00B93A1D" w:rsidRDefault="00B93A1D" w:rsidP="00566CB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08486C" w14:textId="77777777" w:rsidR="003B147A" w:rsidRDefault="003B147A" w:rsidP="00566CB6">
      <w:r>
        <w:separator/>
      </w:r>
    </w:p>
  </w:footnote>
  <w:footnote w:type="continuationSeparator" w:id="0">
    <w:p w14:paraId="5EFF6A11" w14:textId="77777777" w:rsidR="003B147A" w:rsidRDefault="003B147A" w:rsidP="00566CB6">
      <w:r>
        <w:continuationSeparator/>
      </w:r>
    </w:p>
  </w:footnote>
  <w:footnote w:id="1">
    <w:p w14:paraId="4A3CEA9A" w14:textId="0D926340" w:rsidR="00A052B7" w:rsidRDefault="00A052B7">
      <w:pPr>
        <w:pStyle w:val="FootnoteText"/>
      </w:pPr>
      <w:r>
        <w:rPr>
          <w:rStyle w:val="FootnoteReference"/>
        </w:rPr>
        <w:footnoteRef/>
      </w:r>
      <w:r>
        <w:t xml:space="preserve"> </w:t>
      </w:r>
      <w:r>
        <w:rPr>
          <w:rFonts w:ascii="Times New Roman" w:hAnsi="Times New Roman" w:cs="Times New Roman"/>
        </w:rPr>
        <w:t xml:space="preserve">So defined if the relative of a head of state or minister is a ‘top officer or a large shareholder’ of the firm, if ‘a top executive or a large shareholder has been described by </w:t>
      </w:r>
      <w:r>
        <w:rPr>
          <w:rFonts w:ascii="Times New Roman" w:hAnsi="Times New Roman" w:cs="Times New Roman"/>
          <w:i/>
        </w:rPr>
        <w:t xml:space="preserve">The Economist, Forbes, </w:t>
      </w:r>
      <w:r>
        <w:rPr>
          <w:rFonts w:ascii="Times New Roman" w:hAnsi="Times New Roman" w:cs="Times New Roman"/>
        </w:rPr>
        <w:t xml:space="preserve">or </w:t>
      </w:r>
      <w:r>
        <w:rPr>
          <w:rFonts w:ascii="Times New Roman" w:hAnsi="Times New Roman" w:cs="Times New Roman"/>
          <w:i/>
        </w:rPr>
        <w:t>Fortune</w:t>
      </w:r>
      <w:r>
        <w:rPr>
          <w:rFonts w:ascii="Times New Roman" w:hAnsi="Times New Roman" w:cs="Times New Roman"/>
        </w:rPr>
        <w:t xml:space="preserve"> as having a ‘friendship’ with a head of state, government minister, or member of parliament,’ or ‘if a prior study identifies such a relationship as having been in place.’ (Faccio, Marsulis, and McConnell, 2600 – 2601)</w:t>
      </w:r>
    </w:p>
  </w:footnote>
  <w:footnote w:id="2">
    <w:p w14:paraId="4D3640FB" w14:textId="6D0BD6F3" w:rsidR="00012241" w:rsidRPr="00012241" w:rsidRDefault="00012241">
      <w:pPr>
        <w:pStyle w:val="FootnoteText"/>
        <w:rPr>
          <w:rFonts w:ascii="Times New Roman" w:hAnsi="Times New Roman" w:cs="Times New Roman"/>
        </w:rPr>
      </w:pPr>
      <w:r w:rsidRPr="00012241">
        <w:rPr>
          <w:rStyle w:val="FootnoteReference"/>
          <w:rFonts w:ascii="Times New Roman" w:hAnsi="Times New Roman" w:cs="Times New Roman"/>
        </w:rPr>
        <w:footnoteRef/>
      </w:r>
      <w:r w:rsidRPr="00012241">
        <w:rPr>
          <w:rFonts w:ascii="Times New Roman" w:hAnsi="Times New Roman" w:cs="Times New Roman"/>
        </w:rPr>
        <w:t xml:space="preserve"> The ratio of the market value of a firm’s assets to the replacement cost of the firm’s assets.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F00F52"/>
    <w:multiLevelType w:val="hybridMultilevel"/>
    <w:tmpl w:val="9BBA99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BEC4703"/>
    <w:multiLevelType w:val="hybridMultilevel"/>
    <w:tmpl w:val="E23A6AB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6F525BED"/>
    <w:multiLevelType w:val="hybridMultilevel"/>
    <w:tmpl w:val="1324A522"/>
    <w:lvl w:ilvl="0" w:tplc="7FD0F61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F82"/>
    <w:rsid w:val="00012241"/>
    <w:rsid w:val="000138F0"/>
    <w:rsid w:val="00013983"/>
    <w:rsid w:val="000319F5"/>
    <w:rsid w:val="000404BD"/>
    <w:rsid w:val="000546C4"/>
    <w:rsid w:val="00097AFA"/>
    <w:rsid w:val="000A43E3"/>
    <w:rsid w:val="000B58BE"/>
    <w:rsid w:val="000B5D0C"/>
    <w:rsid w:val="000B77FB"/>
    <w:rsid w:val="000D0138"/>
    <w:rsid w:val="000D13AD"/>
    <w:rsid w:val="000D3244"/>
    <w:rsid w:val="000F7D42"/>
    <w:rsid w:val="00104C59"/>
    <w:rsid w:val="001107A7"/>
    <w:rsid w:val="00111A84"/>
    <w:rsid w:val="001133AA"/>
    <w:rsid w:val="00137680"/>
    <w:rsid w:val="00137E85"/>
    <w:rsid w:val="0014025E"/>
    <w:rsid w:val="00163815"/>
    <w:rsid w:val="00174D3E"/>
    <w:rsid w:val="0019379C"/>
    <w:rsid w:val="00195C3C"/>
    <w:rsid w:val="001B186B"/>
    <w:rsid w:val="001C4D0A"/>
    <w:rsid w:val="001D0A8B"/>
    <w:rsid w:val="001D4442"/>
    <w:rsid w:val="001E2BFD"/>
    <w:rsid w:val="001F243A"/>
    <w:rsid w:val="001F32EA"/>
    <w:rsid w:val="00216491"/>
    <w:rsid w:val="00231CA5"/>
    <w:rsid w:val="00255475"/>
    <w:rsid w:val="002755B7"/>
    <w:rsid w:val="002802EF"/>
    <w:rsid w:val="00285419"/>
    <w:rsid w:val="002A00D0"/>
    <w:rsid w:val="002A43DB"/>
    <w:rsid w:val="002B2340"/>
    <w:rsid w:val="002B2775"/>
    <w:rsid w:val="002D6631"/>
    <w:rsid w:val="002E611E"/>
    <w:rsid w:val="002F2C05"/>
    <w:rsid w:val="002F2D48"/>
    <w:rsid w:val="002F3F2C"/>
    <w:rsid w:val="002F4EC8"/>
    <w:rsid w:val="002F6642"/>
    <w:rsid w:val="00314C6A"/>
    <w:rsid w:val="003169E1"/>
    <w:rsid w:val="003228E2"/>
    <w:rsid w:val="00330730"/>
    <w:rsid w:val="00332BD6"/>
    <w:rsid w:val="00333111"/>
    <w:rsid w:val="00345B26"/>
    <w:rsid w:val="00373CB2"/>
    <w:rsid w:val="00374BB0"/>
    <w:rsid w:val="00375B4F"/>
    <w:rsid w:val="0037645A"/>
    <w:rsid w:val="00382992"/>
    <w:rsid w:val="003913BF"/>
    <w:rsid w:val="00392E4B"/>
    <w:rsid w:val="00397CDF"/>
    <w:rsid w:val="003B147A"/>
    <w:rsid w:val="003B21D1"/>
    <w:rsid w:val="003B6CAC"/>
    <w:rsid w:val="003C135E"/>
    <w:rsid w:val="003E06E8"/>
    <w:rsid w:val="003E3B75"/>
    <w:rsid w:val="0041341C"/>
    <w:rsid w:val="0041749E"/>
    <w:rsid w:val="00431648"/>
    <w:rsid w:val="004636B6"/>
    <w:rsid w:val="004732B4"/>
    <w:rsid w:val="00474962"/>
    <w:rsid w:val="00476AB2"/>
    <w:rsid w:val="0049492D"/>
    <w:rsid w:val="004974D7"/>
    <w:rsid w:val="004A362A"/>
    <w:rsid w:val="004C5E07"/>
    <w:rsid w:val="004D35F1"/>
    <w:rsid w:val="00512160"/>
    <w:rsid w:val="00542556"/>
    <w:rsid w:val="00544D42"/>
    <w:rsid w:val="0055375B"/>
    <w:rsid w:val="0056269A"/>
    <w:rsid w:val="00566CB6"/>
    <w:rsid w:val="0059038C"/>
    <w:rsid w:val="005B35B7"/>
    <w:rsid w:val="005F43AB"/>
    <w:rsid w:val="005F55DE"/>
    <w:rsid w:val="00650775"/>
    <w:rsid w:val="006757B4"/>
    <w:rsid w:val="006941E4"/>
    <w:rsid w:val="006947D1"/>
    <w:rsid w:val="006A3016"/>
    <w:rsid w:val="006A6397"/>
    <w:rsid w:val="006A7ACD"/>
    <w:rsid w:val="006B4B79"/>
    <w:rsid w:val="006D2213"/>
    <w:rsid w:val="006E12A0"/>
    <w:rsid w:val="006F0DD5"/>
    <w:rsid w:val="006F5F82"/>
    <w:rsid w:val="00712312"/>
    <w:rsid w:val="00735C33"/>
    <w:rsid w:val="00752B5F"/>
    <w:rsid w:val="00764199"/>
    <w:rsid w:val="0077294B"/>
    <w:rsid w:val="00774551"/>
    <w:rsid w:val="007A1937"/>
    <w:rsid w:val="007B0AAF"/>
    <w:rsid w:val="007B3993"/>
    <w:rsid w:val="007B66EE"/>
    <w:rsid w:val="007C01D0"/>
    <w:rsid w:val="007C5A7C"/>
    <w:rsid w:val="007F3240"/>
    <w:rsid w:val="007F5835"/>
    <w:rsid w:val="00802688"/>
    <w:rsid w:val="00813C5E"/>
    <w:rsid w:val="00816DE9"/>
    <w:rsid w:val="008357F7"/>
    <w:rsid w:val="00853E40"/>
    <w:rsid w:val="00857524"/>
    <w:rsid w:val="00860C39"/>
    <w:rsid w:val="00892C23"/>
    <w:rsid w:val="008A160A"/>
    <w:rsid w:val="008B0769"/>
    <w:rsid w:val="008D501C"/>
    <w:rsid w:val="00915705"/>
    <w:rsid w:val="00920543"/>
    <w:rsid w:val="00923D1A"/>
    <w:rsid w:val="00936507"/>
    <w:rsid w:val="00947D9A"/>
    <w:rsid w:val="00971C3D"/>
    <w:rsid w:val="009944FE"/>
    <w:rsid w:val="009A48C4"/>
    <w:rsid w:val="009B2477"/>
    <w:rsid w:val="009B39DD"/>
    <w:rsid w:val="009B3C62"/>
    <w:rsid w:val="009B5DB1"/>
    <w:rsid w:val="009C438D"/>
    <w:rsid w:val="009E3EB3"/>
    <w:rsid w:val="00A052B7"/>
    <w:rsid w:val="00A074A1"/>
    <w:rsid w:val="00A1335C"/>
    <w:rsid w:val="00A175CD"/>
    <w:rsid w:val="00A262DE"/>
    <w:rsid w:val="00A44049"/>
    <w:rsid w:val="00A63BA9"/>
    <w:rsid w:val="00A675A8"/>
    <w:rsid w:val="00A745EB"/>
    <w:rsid w:val="00A97F6F"/>
    <w:rsid w:val="00AA3051"/>
    <w:rsid w:val="00AB2FA3"/>
    <w:rsid w:val="00AB5821"/>
    <w:rsid w:val="00AB65C8"/>
    <w:rsid w:val="00AB7FC5"/>
    <w:rsid w:val="00AC0AFC"/>
    <w:rsid w:val="00AD1F42"/>
    <w:rsid w:val="00AD62A1"/>
    <w:rsid w:val="00AF4039"/>
    <w:rsid w:val="00B1031A"/>
    <w:rsid w:val="00B30451"/>
    <w:rsid w:val="00B57F12"/>
    <w:rsid w:val="00B712D2"/>
    <w:rsid w:val="00B73769"/>
    <w:rsid w:val="00B84F2E"/>
    <w:rsid w:val="00B93A1D"/>
    <w:rsid w:val="00BA65D4"/>
    <w:rsid w:val="00BB04DC"/>
    <w:rsid w:val="00BB6523"/>
    <w:rsid w:val="00BB7FC4"/>
    <w:rsid w:val="00C1014E"/>
    <w:rsid w:val="00C50F91"/>
    <w:rsid w:val="00C52CDF"/>
    <w:rsid w:val="00C5420B"/>
    <w:rsid w:val="00C544A0"/>
    <w:rsid w:val="00C549BA"/>
    <w:rsid w:val="00C651E8"/>
    <w:rsid w:val="00C92215"/>
    <w:rsid w:val="00CC00F9"/>
    <w:rsid w:val="00CD3D49"/>
    <w:rsid w:val="00CE30CC"/>
    <w:rsid w:val="00D0134A"/>
    <w:rsid w:val="00D03A47"/>
    <w:rsid w:val="00D061FD"/>
    <w:rsid w:val="00D11093"/>
    <w:rsid w:val="00D111EB"/>
    <w:rsid w:val="00D12D47"/>
    <w:rsid w:val="00D16E5F"/>
    <w:rsid w:val="00D204D3"/>
    <w:rsid w:val="00D23D52"/>
    <w:rsid w:val="00D27042"/>
    <w:rsid w:val="00D31869"/>
    <w:rsid w:val="00D319A6"/>
    <w:rsid w:val="00D35B05"/>
    <w:rsid w:val="00D521B6"/>
    <w:rsid w:val="00D70A4A"/>
    <w:rsid w:val="00DA478F"/>
    <w:rsid w:val="00DA6C2C"/>
    <w:rsid w:val="00DC0D2E"/>
    <w:rsid w:val="00DC11C4"/>
    <w:rsid w:val="00DD0CB0"/>
    <w:rsid w:val="00DD5DC7"/>
    <w:rsid w:val="00E07EE5"/>
    <w:rsid w:val="00E114BE"/>
    <w:rsid w:val="00E147C0"/>
    <w:rsid w:val="00E161D1"/>
    <w:rsid w:val="00E23073"/>
    <w:rsid w:val="00E23424"/>
    <w:rsid w:val="00E33138"/>
    <w:rsid w:val="00E34949"/>
    <w:rsid w:val="00E506C8"/>
    <w:rsid w:val="00E63C12"/>
    <w:rsid w:val="00E64A04"/>
    <w:rsid w:val="00E85659"/>
    <w:rsid w:val="00E953CC"/>
    <w:rsid w:val="00EA5FB1"/>
    <w:rsid w:val="00EA7319"/>
    <w:rsid w:val="00EB5F72"/>
    <w:rsid w:val="00EB603A"/>
    <w:rsid w:val="00EC1BB8"/>
    <w:rsid w:val="00EE0509"/>
    <w:rsid w:val="00EE6780"/>
    <w:rsid w:val="00F03E64"/>
    <w:rsid w:val="00F06554"/>
    <w:rsid w:val="00F13B89"/>
    <w:rsid w:val="00F260DF"/>
    <w:rsid w:val="00F52368"/>
    <w:rsid w:val="00F579E2"/>
    <w:rsid w:val="00F748ED"/>
    <w:rsid w:val="00F9289E"/>
    <w:rsid w:val="00F92B60"/>
    <w:rsid w:val="00F958D3"/>
    <w:rsid w:val="00F96F0D"/>
    <w:rsid w:val="00FA6DC6"/>
    <w:rsid w:val="00FA7C97"/>
    <w:rsid w:val="00FB2468"/>
    <w:rsid w:val="00FD2457"/>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7C760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6F5F82"/>
    <w:rPr>
      <w:rFonts w:ascii="Helvetica" w:hAnsi="Helvetica" w:cs="Times New Roman"/>
      <w:sz w:val="18"/>
      <w:szCs w:val="18"/>
    </w:rPr>
  </w:style>
  <w:style w:type="paragraph" w:styleId="ListParagraph">
    <w:name w:val="List Paragraph"/>
    <w:basedOn w:val="Normal"/>
    <w:uiPriority w:val="34"/>
    <w:qFormat/>
    <w:rsid w:val="00F92B60"/>
    <w:pPr>
      <w:ind w:left="720"/>
      <w:contextualSpacing/>
    </w:pPr>
  </w:style>
  <w:style w:type="paragraph" w:styleId="Footer">
    <w:name w:val="footer"/>
    <w:basedOn w:val="Normal"/>
    <w:link w:val="FooterChar"/>
    <w:uiPriority w:val="99"/>
    <w:unhideWhenUsed/>
    <w:rsid w:val="00566CB6"/>
    <w:pPr>
      <w:tabs>
        <w:tab w:val="center" w:pos="4680"/>
        <w:tab w:val="right" w:pos="9360"/>
      </w:tabs>
    </w:pPr>
  </w:style>
  <w:style w:type="character" w:customStyle="1" w:styleId="FooterChar">
    <w:name w:val="Footer Char"/>
    <w:basedOn w:val="DefaultParagraphFont"/>
    <w:link w:val="Footer"/>
    <w:uiPriority w:val="99"/>
    <w:rsid w:val="00566CB6"/>
  </w:style>
  <w:style w:type="character" w:styleId="PageNumber">
    <w:name w:val="page number"/>
    <w:basedOn w:val="DefaultParagraphFont"/>
    <w:uiPriority w:val="99"/>
    <w:semiHidden/>
    <w:unhideWhenUsed/>
    <w:rsid w:val="00566CB6"/>
  </w:style>
  <w:style w:type="paragraph" w:styleId="FootnoteText">
    <w:name w:val="footnote text"/>
    <w:basedOn w:val="Normal"/>
    <w:link w:val="FootnoteTextChar"/>
    <w:uiPriority w:val="99"/>
    <w:unhideWhenUsed/>
    <w:rsid w:val="00A052B7"/>
  </w:style>
  <w:style w:type="character" w:customStyle="1" w:styleId="FootnoteTextChar">
    <w:name w:val="Footnote Text Char"/>
    <w:basedOn w:val="DefaultParagraphFont"/>
    <w:link w:val="FootnoteText"/>
    <w:uiPriority w:val="99"/>
    <w:rsid w:val="00A052B7"/>
  </w:style>
  <w:style w:type="character" w:styleId="FootnoteReference">
    <w:name w:val="footnote reference"/>
    <w:basedOn w:val="DefaultParagraphFont"/>
    <w:uiPriority w:val="99"/>
    <w:unhideWhenUsed/>
    <w:rsid w:val="00A052B7"/>
    <w:rPr>
      <w:vertAlign w:val="superscript"/>
    </w:rPr>
  </w:style>
  <w:style w:type="table" w:styleId="TableGrid">
    <w:name w:val="Table Grid"/>
    <w:basedOn w:val="TableNormal"/>
    <w:uiPriority w:val="39"/>
    <w:rsid w:val="002A00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0277003">
      <w:bodyDiv w:val="1"/>
      <w:marLeft w:val="0"/>
      <w:marRight w:val="0"/>
      <w:marTop w:val="0"/>
      <w:marBottom w:val="0"/>
      <w:divBdr>
        <w:top w:val="none" w:sz="0" w:space="0" w:color="auto"/>
        <w:left w:val="none" w:sz="0" w:space="0" w:color="auto"/>
        <w:bottom w:val="none" w:sz="0" w:space="0" w:color="auto"/>
        <w:right w:val="none" w:sz="0" w:space="0" w:color="auto"/>
      </w:divBdr>
    </w:div>
    <w:div w:id="807354387">
      <w:bodyDiv w:val="1"/>
      <w:marLeft w:val="0"/>
      <w:marRight w:val="0"/>
      <w:marTop w:val="0"/>
      <w:marBottom w:val="0"/>
      <w:divBdr>
        <w:top w:val="none" w:sz="0" w:space="0" w:color="auto"/>
        <w:left w:val="none" w:sz="0" w:space="0" w:color="auto"/>
        <w:bottom w:val="none" w:sz="0" w:space="0" w:color="auto"/>
        <w:right w:val="none" w:sz="0" w:space="0" w:color="auto"/>
      </w:divBdr>
    </w:div>
    <w:div w:id="1023750666">
      <w:bodyDiv w:val="1"/>
      <w:marLeft w:val="0"/>
      <w:marRight w:val="0"/>
      <w:marTop w:val="0"/>
      <w:marBottom w:val="0"/>
      <w:divBdr>
        <w:top w:val="none" w:sz="0" w:space="0" w:color="auto"/>
        <w:left w:val="none" w:sz="0" w:space="0" w:color="auto"/>
        <w:bottom w:val="none" w:sz="0" w:space="0" w:color="auto"/>
        <w:right w:val="none" w:sz="0" w:space="0" w:color="auto"/>
      </w:divBdr>
    </w:div>
    <w:div w:id="1102870630">
      <w:bodyDiv w:val="1"/>
      <w:marLeft w:val="0"/>
      <w:marRight w:val="0"/>
      <w:marTop w:val="0"/>
      <w:marBottom w:val="0"/>
      <w:divBdr>
        <w:top w:val="none" w:sz="0" w:space="0" w:color="auto"/>
        <w:left w:val="none" w:sz="0" w:space="0" w:color="auto"/>
        <w:bottom w:val="none" w:sz="0" w:space="0" w:color="auto"/>
        <w:right w:val="none" w:sz="0" w:space="0" w:color="auto"/>
      </w:divBdr>
      <w:divsChild>
        <w:div w:id="653145510">
          <w:marLeft w:val="0"/>
          <w:marRight w:val="0"/>
          <w:marTop w:val="0"/>
          <w:marBottom w:val="0"/>
          <w:divBdr>
            <w:top w:val="none" w:sz="0" w:space="0" w:color="auto"/>
            <w:left w:val="none" w:sz="0" w:space="0" w:color="auto"/>
            <w:bottom w:val="none" w:sz="0" w:space="0" w:color="auto"/>
            <w:right w:val="none" w:sz="0" w:space="0" w:color="auto"/>
          </w:divBdr>
        </w:div>
      </w:divsChild>
    </w:div>
    <w:div w:id="1297297228">
      <w:bodyDiv w:val="1"/>
      <w:marLeft w:val="0"/>
      <w:marRight w:val="0"/>
      <w:marTop w:val="0"/>
      <w:marBottom w:val="0"/>
      <w:divBdr>
        <w:top w:val="none" w:sz="0" w:space="0" w:color="auto"/>
        <w:left w:val="none" w:sz="0" w:space="0" w:color="auto"/>
        <w:bottom w:val="none" w:sz="0" w:space="0" w:color="auto"/>
        <w:right w:val="none" w:sz="0" w:space="0" w:color="auto"/>
      </w:divBdr>
      <w:divsChild>
        <w:div w:id="163130406">
          <w:marLeft w:val="0"/>
          <w:marRight w:val="0"/>
          <w:marTop w:val="0"/>
          <w:marBottom w:val="0"/>
          <w:divBdr>
            <w:top w:val="none" w:sz="0" w:space="0" w:color="auto"/>
            <w:left w:val="none" w:sz="0" w:space="0" w:color="auto"/>
            <w:bottom w:val="none" w:sz="0" w:space="0" w:color="auto"/>
            <w:right w:val="none" w:sz="0" w:space="0" w:color="auto"/>
          </w:divBdr>
        </w:div>
      </w:divsChild>
    </w:div>
    <w:div w:id="1509056384">
      <w:bodyDiv w:val="1"/>
      <w:marLeft w:val="0"/>
      <w:marRight w:val="0"/>
      <w:marTop w:val="0"/>
      <w:marBottom w:val="0"/>
      <w:divBdr>
        <w:top w:val="none" w:sz="0" w:space="0" w:color="auto"/>
        <w:left w:val="none" w:sz="0" w:space="0" w:color="auto"/>
        <w:bottom w:val="none" w:sz="0" w:space="0" w:color="auto"/>
        <w:right w:val="none" w:sz="0" w:space="0" w:color="auto"/>
      </w:divBdr>
    </w:div>
    <w:div w:id="1893805287">
      <w:bodyDiv w:val="1"/>
      <w:marLeft w:val="0"/>
      <w:marRight w:val="0"/>
      <w:marTop w:val="0"/>
      <w:marBottom w:val="0"/>
      <w:divBdr>
        <w:top w:val="none" w:sz="0" w:space="0" w:color="auto"/>
        <w:left w:val="none" w:sz="0" w:space="0" w:color="auto"/>
        <w:bottom w:val="none" w:sz="0" w:space="0" w:color="auto"/>
        <w:right w:val="none" w:sz="0" w:space="0" w:color="auto"/>
      </w:divBdr>
      <w:divsChild>
        <w:div w:id="2107072225">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tiff"/><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tiff"/><Relationship Id="rId10"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549</TotalTime>
  <Pages>31</Pages>
  <Words>7181</Words>
  <Characters>40933</Characters>
  <Application>Microsoft Macintosh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48018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97</cp:revision>
  <cp:lastPrinted>2019-02-05T17:57:00Z</cp:lastPrinted>
  <dcterms:created xsi:type="dcterms:W3CDTF">2019-01-31T15:22:00Z</dcterms:created>
  <dcterms:modified xsi:type="dcterms:W3CDTF">2019-04-12T20:32:00Z</dcterms:modified>
</cp:coreProperties>
</file>