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ABC" w:rsidRPr="00EA794F" w:rsidRDefault="000D288B" w:rsidP="00EA794F">
      <w:pPr>
        <w:spacing w:after="0" w:line="240" w:lineRule="auto"/>
        <w:rPr>
          <w:b/>
          <w:noProof/>
        </w:rPr>
      </w:pPr>
      <w:r>
        <w:rPr>
          <w:b/>
          <w:noProof/>
        </w:rPr>
        <mc:AlternateContent>
          <mc:Choice Requires="wps">
            <w:drawing>
              <wp:anchor distT="0" distB="0" distL="114300" distR="114300" simplePos="0" relativeHeight="251658240" behindDoc="0" locked="0" layoutInCell="1" allowOverlap="1">
                <wp:simplePos x="0" y="0"/>
                <wp:positionH relativeFrom="column">
                  <wp:posOffset>4591050</wp:posOffset>
                </wp:positionH>
                <wp:positionV relativeFrom="paragraph">
                  <wp:posOffset>-561975</wp:posOffset>
                </wp:positionV>
                <wp:extent cx="1373505" cy="495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801" w:rsidRPr="008770EB" w:rsidRDefault="00805801" w:rsidP="008770EB">
                            <w:pPr>
                              <w:pStyle w:val="NoSpacing"/>
                              <w:ind w:right="-75"/>
                              <w:jc w:val="right"/>
                              <w:rPr>
                                <w:rFonts w:ascii="Trajan Pro" w:hAnsi="Trajan Pro"/>
                                <w:sz w:val="16"/>
                                <w:szCs w:val="16"/>
                              </w:rPr>
                            </w:pPr>
                            <w:r w:rsidRPr="008770EB">
                              <w:rPr>
                                <w:rFonts w:ascii="Trajan Pro" w:hAnsi="Trajan Pro"/>
                                <w:sz w:val="16"/>
                                <w:szCs w:val="16"/>
                              </w:rPr>
                              <w:t xml:space="preserve">Office of </w:t>
                            </w:r>
                            <w:r w:rsidR="008770EB">
                              <w:rPr>
                                <w:rFonts w:ascii="Trajan Pro" w:hAnsi="Trajan Pro"/>
                                <w:sz w:val="16"/>
                                <w:szCs w:val="16"/>
                              </w:rPr>
                              <w:br/>
                            </w:r>
                            <w:r w:rsidRPr="008770EB">
                              <w:rPr>
                                <w:rFonts w:ascii="Trajan Pro" w:hAnsi="Trajan Pro"/>
                                <w:sz w:val="16"/>
                                <w:szCs w:val="16"/>
                              </w:rPr>
                              <w:t>Sponsored</w:t>
                            </w:r>
                            <w:r w:rsidR="008770EB">
                              <w:rPr>
                                <w:rFonts w:ascii="Trajan Pro" w:hAnsi="Trajan Pro"/>
                                <w:sz w:val="16"/>
                                <w:szCs w:val="16"/>
                              </w:rPr>
                              <w:t xml:space="preserve"> </w:t>
                            </w:r>
                            <w:r w:rsidRPr="008770EB">
                              <w:rPr>
                                <w:rFonts w:ascii="Trajan Pro" w:hAnsi="Trajan Pro"/>
                                <w:sz w:val="16"/>
                                <w:szCs w:val="16"/>
                              </w:rPr>
                              <w:t>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1.5pt;margin-top:-44.25pt;width:108.1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" stroked="f">
                <v:textbox>
                  <w:txbxContent>
                    <w:p w:rsidR="00805801" w:rsidRPr="008770EB" w:rsidRDefault="00805801" w:rsidP="008770EB">
                      <w:pPr>
                        <w:pStyle w:val="NoSpacing"/>
                        <w:ind w:right="-75"/>
                        <w:jc w:val="right"/>
                        <w:rPr>
                          <w:rFonts w:ascii="Trajan Pro" w:hAnsi="Trajan Pro"/>
                          <w:sz w:val="16"/>
                          <w:szCs w:val="16"/>
                        </w:rPr>
                      </w:pPr>
                      <w:r w:rsidRPr="008770EB">
                        <w:rPr>
                          <w:rFonts w:ascii="Trajan Pro" w:hAnsi="Trajan Pro"/>
                          <w:sz w:val="16"/>
                          <w:szCs w:val="16"/>
                        </w:rPr>
                        <w:t xml:space="preserve">Office of </w:t>
                      </w:r>
                      <w:r w:rsidR="008770EB">
                        <w:rPr>
                          <w:rFonts w:ascii="Trajan Pro" w:hAnsi="Trajan Pro"/>
                          <w:sz w:val="16"/>
                          <w:szCs w:val="16"/>
                        </w:rPr>
                        <w:br/>
                      </w:r>
                      <w:r w:rsidRPr="008770EB">
                        <w:rPr>
                          <w:rFonts w:ascii="Trajan Pro" w:hAnsi="Trajan Pro"/>
                          <w:sz w:val="16"/>
                          <w:szCs w:val="16"/>
                        </w:rPr>
                        <w:t>Sponsored</w:t>
                      </w:r>
                      <w:r w:rsidR="008770EB">
                        <w:rPr>
                          <w:rFonts w:ascii="Trajan Pro" w:hAnsi="Trajan Pro"/>
                          <w:sz w:val="16"/>
                          <w:szCs w:val="16"/>
                        </w:rPr>
                        <w:t xml:space="preserve"> </w:t>
                      </w:r>
                      <w:r w:rsidRPr="008770EB">
                        <w:rPr>
                          <w:rFonts w:ascii="Trajan Pro" w:hAnsi="Trajan Pro"/>
                          <w:sz w:val="16"/>
                          <w:szCs w:val="16"/>
                        </w:rPr>
                        <w:t>Projects</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margin">
                  <wp:posOffset>1401445</wp:posOffset>
                </wp:positionH>
                <wp:positionV relativeFrom="paragraph">
                  <wp:posOffset>-589915</wp:posOffset>
                </wp:positionV>
                <wp:extent cx="3237230" cy="723900"/>
                <wp:effectExtent l="0" t="0"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801" w:rsidRPr="008770EB" w:rsidRDefault="00126751" w:rsidP="00DB46A6">
                            <w:pPr>
                              <w:pStyle w:val="NoSpacing"/>
                              <w:jc w:val="center"/>
                              <w:rPr>
                                <w:rFonts w:ascii="Trajan Pro" w:hAnsi="Trajan Pro"/>
                                <w:b/>
                                <w:sz w:val="24"/>
                                <w:szCs w:val="24"/>
                              </w:rPr>
                            </w:pPr>
                            <w:r w:rsidRPr="008770EB">
                              <w:rPr>
                                <w:rFonts w:ascii="Trajan Pro" w:hAnsi="Trajan Pro"/>
                                <w:b/>
                                <w:sz w:val="24"/>
                                <w:szCs w:val="24"/>
                              </w:rPr>
                              <w:t>Participant Support Costs</w:t>
                            </w:r>
                          </w:p>
                          <w:p w:rsidR="00126751" w:rsidRPr="008770EB" w:rsidRDefault="00126751" w:rsidP="00DB46A6">
                            <w:pPr>
                              <w:pStyle w:val="NoSpacing"/>
                              <w:jc w:val="center"/>
                              <w:rPr>
                                <w:rFonts w:ascii="Trajan Pro" w:hAnsi="Trajan Pro"/>
                                <w:b/>
                                <w:sz w:val="24"/>
                                <w:szCs w:val="24"/>
                              </w:rPr>
                            </w:pPr>
                            <w:r w:rsidRPr="008770EB">
                              <w:rPr>
                                <w:rFonts w:ascii="Trajan Pro" w:hAnsi="Trajan Pro"/>
                                <w:b/>
                                <w:sz w:val="24"/>
                                <w:szCs w:val="24"/>
                              </w:rPr>
                              <w:t>FAQ’s and Guide</w:t>
                            </w:r>
                          </w:p>
                          <w:p w:rsidR="00805801" w:rsidRPr="000D288B" w:rsidRDefault="008770EB" w:rsidP="000D288B">
                            <w:pPr>
                              <w:pStyle w:val="NoSpacing"/>
                              <w:jc w:val="center"/>
                              <w:rPr>
                                <w:rFonts w:ascii="Trajan Pro" w:hAnsi="Trajan Pro"/>
                                <w:sz w:val="16"/>
                                <w:szCs w:val="16"/>
                              </w:rPr>
                            </w:pPr>
                            <w:r>
                              <w:rPr>
                                <w:rFonts w:ascii="Trajan Pro" w:hAnsi="Trajan Pro"/>
                                <w:sz w:val="16"/>
                                <w:szCs w:val="16"/>
                              </w:rPr>
                              <w:t xml:space="preserve">Rev </w:t>
                            </w:r>
                            <w:r w:rsidR="00BA06E0" w:rsidRPr="008770EB">
                              <w:rPr>
                                <w:rFonts w:ascii="Trajan Pro" w:hAnsi="Trajan Pro"/>
                                <w:sz w:val="16"/>
                                <w:szCs w:val="16"/>
                              </w:rPr>
                              <w:t xml:space="preserve">March 28, </w:t>
                            </w:r>
                            <w:r w:rsidR="00126751" w:rsidRPr="008770EB">
                              <w:rPr>
                                <w:rFonts w:ascii="Trajan Pro" w:hAnsi="Trajan Pro"/>
                                <w:sz w:val="16"/>
                                <w:szCs w:val="16"/>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0.35pt;margin-top:-46.45pt;width:254.9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d2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" stroked="f">
                <v:textbox>
                  <w:txbxContent>
                    <w:p w:rsidR="00805801" w:rsidRPr="008770EB" w:rsidRDefault="00126751" w:rsidP="00DB46A6">
                      <w:pPr>
                        <w:pStyle w:val="NoSpacing"/>
                        <w:jc w:val="center"/>
                        <w:rPr>
                          <w:rFonts w:ascii="Trajan Pro" w:hAnsi="Trajan Pro"/>
                          <w:b/>
                          <w:sz w:val="24"/>
                          <w:szCs w:val="24"/>
                        </w:rPr>
                      </w:pPr>
                      <w:r w:rsidRPr="008770EB">
                        <w:rPr>
                          <w:rFonts w:ascii="Trajan Pro" w:hAnsi="Trajan Pro"/>
                          <w:b/>
                          <w:sz w:val="24"/>
                          <w:szCs w:val="24"/>
                        </w:rPr>
                        <w:t>Participant Support Costs</w:t>
                      </w:r>
                    </w:p>
                    <w:p w:rsidR="00126751" w:rsidRPr="008770EB" w:rsidRDefault="00126751" w:rsidP="00DB46A6">
                      <w:pPr>
                        <w:pStyle w:val="NoSpacing"/>
                        <w:jc w:val="center"/>
                        <w:rPr>
                          <w:rFonts w:ascii="Trajan Pro" w:hAnsi="Trajan Pro"/>
                          <w:b/>
                          <w:sz w:val="24"/>
                          <w:szCs w:val="24"/>
                        </w:rPr>
                      </w:pPr>
                      <w:r w:rsidRPr="008770EB">
                        <w:rPr>
                          <w:rFonts w:ascii="Trajan Pro" w:hAnsi="Trajan Pro"/>
                          <w:b/>
                          <w:sz w:val="24"/>
                          <w:szCs w:val="24"/>
                        </w:rPr>
                        <w:t>FAQ’s and Guide</w:t>
                      </w:r>
                    </w:p>
                    <w:p w:rsidR="00805801" w:rsidRPr="000D288B" w:rsidRDefault="008770EB" w:rsidP="000D288B">
                      <w:pPr>
                        <w:pStyle w:val="NoSpacing"/>
                        <w:jc w:val="center"/>
                        <w:rPr>
                          <w:rFonts w:ascii="Trajan Pro" w:hAnsi="Trajan Pro"/>
                          <w:sz w:val="16"/>
                          <w:szCs w:val="16"/>
                        </w:rPr>
                      </w:pPr>
                      <w:r>
                        <w:rPr>
                          <w:rFonts w:ascii="Trajan Pro" w:hAnsi="Trajan Pro"/>
                          <w:sz w:val="16"/>
                          <w:szCs w:val="16"/>
                        </w:rPr>
                        <w:t xml:space="preserve">Rev </w:t>
                      </w:r>
                      <w:r w:rsidR="00BA06E0" w:rsidRPr="008770EB">
                        <w:rPr>
                          <w:rFonts w:ascii="Trajan Pro" w:hAnsi="Trajan Pro"/>
                          <w:sz w:val="16"/>
                          <w:szCs w:val="16"/>
                        </w:rPr>
                        <w:t xml:space="preserve">March 28, </w:t>
                      </w:r>
                      <w:r w:rsidR="00126751" w:rsidRPr="008770EB">
                        <w:rPr>
                          <w:rFonts w:ascii="Trajan Pro" w:hAnsi="Trajan Pro"/>
                          <w:sz w:val="16"/>
                          <w:szCs w:val="16"/>
                        </w:rPr>
                        <w:t>2018</w:t>
                      </w:r>
                    </w:p>
                  </w:txbxContent>
                </v:textbox>
                <w10:wrap anchorx="margin"/>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-781051</wp:posOffset>
                </wp:positionV>
                <wp:extent cx="1504950" cy="1057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504950" cy="1057275"/>
                        </a:xfrm>
                        <a:prstGeom prst="rect">
                          <a:avLst/>
                        </a:prstGeom>
                        <a:solidFill>
                          <a:schemeClr val="lt1"/>
                        </a:solidFill>
                        <a:ln w="6350">
                          <a:noFill/>
                        </a:ln>
                      </wps:spPr>
                      <wps:txbx>
                        <w:txbxContent>
                          <w:p w:rsidR="000D288B" w:rsidRDefault="000D288B">
                            <w:r>
                              <w:rPr>
                                <w:noProof/>
                              </w:rPr>
                              <w:drawing>
                                <wp:inline distT="0" distB="0" distL="0" distR="0">
                                  <wp:extent cx="1278562"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I Research Branding_Print.jpg"/>
                                          <pic:cNvPicPr/>
                                        </pic:nvPicPr>
                                        <pic:blipFill>
                                          <a:blip r:embed="rId8">
                                            <a:extLst>
                                              <a:ext uri="{28A0092B-C50C-407E-A947-70E740481C1C}">
                                                <a14:useLocalDpi xmlns:a14="http://schemas.microsoft.com/office/drawing/2010/main" val="0"/>
                                              </a:ext>
                                            </a:extLst>
                                          </a:blip>
                                          <a:stretch>
                                            <a:fillRect/>
                                          </a:stretch>
                                        </pic:blipFill>
                                        <pic:spPr>
                                          <a:xfrm>
                                            <a:off x="0" y="0"/>
                                            <a:ext cx="1289088" cy="9315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pt;margin-top:-61.5pt;width:118.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" fillcolor="white [3201]" stroked="f" strokeweight=".5pt">
                <v:textbox>
                  <w:txbxContent>
                    <w:p w:rsidR="000D288B" w:rsidRDefault="000D288B">
                      <w:r>
                        <w:rPr>
                          <w:noProof/>
                        </w:rPr>
                        <w:drawing>
                          <wp:inline distT="0" distB="0" distL="0" distR="0">
                            <wp:extent cx="1278562"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I Research Branding_Print.jpg"/>
                                    <pic:cNvPicPr/>
                                  </pic:nvPicPr>
                                  <pic:blipFill>
                                    <a:blip r:embed="rId8">
                                      <a:extLst>
                                        <a:ext uri="{28A0092B-C50C-407E-A947-70E740481C1C}">
                                          <a14:useLocalDpi xmlns:a14="http://schemas.microsoft.com/office/drawing/2010/main" val="0"/>
                                        </a:ext>
                                      </a:extLst>
                                    </a:blip>
                                    <a:stretch>
                                      <a:fillRect/>
                                    </a:stretch>
                                  </pic:blipFill>
                                  <pic:spPr>
                                    <a:xfrm>
                                      <a:off x="0" y="0"/>
                                      <a:ext cx="1289088" cy="931531"/>
                                    </a:xfrm>
                                    <a:prstGeom prst="rect">
                                      <a:avLst/>
                                    </a:prstGeom>
                                  </pic:spPr>
                                </pic:pic>
                              </a:graphicData>
                            </a:graphic>
                          </wp:inline>
                        </w:drawing>
                      </w:r>
                    </w:p>
                  </w:txbxContent>
                </v:textbox>
              </v:shape>
            </w:pict>
          </mc:Fallback>
        </mc:AlternateContent>
      </w:r>
      <w:r w:rsidR="00DD1ABC">
        <w:rPr>
          <w:b/>
          <w:noProof/>
        </w:rPr>
        <w:tab/>
      </w:r>
      <w:r w:rsidR="00DD1ABC">
        <w:rPr>
          <w:b/>
          <w:noProof/>
        </w:rPr>
        <w:tab/>
      </w:r>
      <w:r w:rsidR="00DD1ABC">
        <w:rPr>
          <w:b/>
          <w:noProof/>
        </w:rPr>
        <w:tab/>
      </w:r>
      <w:r w:rsidR="00DD1ABC">
        <w:rPr>
          <w:b/>
          <w:noProof/>
        </w:rPr>
        <w:tab/>
      </w:r>
      <w:r w:rsidR="00DD1ABC">
        <w:rPr>
          <w:b/>
          <w:noProof/>
        </w:rPr>
        <w:tab/>
      </w:r>
      <w:r w:rsidR="00DD1ABC">
        <w:rPr>
          <w:b/>
          <w:noProof/>
        </w:rPr>
        <w:tab/>
      </w:r>
      <w:r w:rsidR="00DD1ABC">
        <w:rPr>
          <w:b/>
          <w:noProof/>
        </w:rPr>
        <w:tab/>
      </w:r>
      <w:r w:rsidR="00DD1ABC">
        <w:rPr>
          <w:b/>
          <w:noProof/>
        </w:rPr>
        <w:tab/>
      </w:r>
      <w:r w:rsidR="00DD1ABC">
        <w:rPr>
          <w:b/>
          <w:noProof/>
        </w:rPr>
        <w:tab/>
      </w:r>
    </w:p>
    <w:p w:rsidR="00DD1ABC" w:rsidRPr="003C3DD7" w:rsidRDefault="00DD1ABC" w:rsidP="0069421A">
      <w:pPr>
        <w:spacing w:after="0" w:line="240" w:lineRule="auto"/>
        <w:rPr>
          <w:noProof/>
          <w:sz w:val="21"/>
          <w:szCs w:val="21"/>
        </w:rPr>
      </w:pPr>
    </w:p>
    <w:p w:rsidR="00EE1ABD" w:rsidRPr="00325CAB" w:rsidRDefault="00C74DF6" w:rsidP="005A2F03">
      <w:pPr>
        <w:spacing w:after="120" w:line="240" w:lineRule="auto"/>
        <w:rPr>
          <w:rFonts w:asciiTheme="minorHAnsi" w:hAnsiTheme="minorHAnsi"/>
          <w:noProof/>
        </w:rPr>
      </w:pPr>
      <w:r w:rsidRPr="00325CAB">
        <w:rPr>
          <w:rFonts w:asciiTheme="minorHAnsi" w:hAnsiTheme="minorHAnsi"/>
          <w:b/>
          <w:noProof/>
        </w:rPr>
        <w:t xml:space="preserve">I. </w:t>
      </w:r>
      <w:r w:rsidR="003D0031" w:rsidRPr="00325CAB">
        <w:rPr>
          <w:rFonts w:asciiTheme="minorHAnsi" w:hAnsiTheme="minorHAnsi"/>
          <w:b/>
          <w:noProof/>
        </w:rPr>
        <w:t>Purpose</w:t>
      </w:r>
      <w:r w:rsidR="003D0031" w:rsidRPr="00325CAB">
        <w:rPr>
          <w:rFonts w:asciiTheme="minorHAnsi" w:hAnsiTheme="minorHAnsi"/>
          <w:noProof/>
        </w:rPr>
        <w:t xml:space="preserve">:  </w:t>
      </w:r>
    </w:p>
    <w:p w:rsidR="003D0031" w:rsidRPr="00325CAB" w:rsidRDefault="003D0031" w:rsidP="005A2F03">
      <w:pPr>
        <w:spacing w:after="120" w:line="240" w:lineRule="auto"/>
        <w:rPr>
          <w:rFonts w:asciiTheme="minorHAnsi" w:hAnsiTheme="minorHAnsi"/>
          <w:noProof/>
        </w:rPr>
      </w:pPr>
      <w:r w:rsidRPr="00325CAB">
        <w:rPr>
          <w:rFonts w:asciiTheme="minorHAnsi" w:hAnsiTheme="minorHAnsi"/>
          <w:noProof/>
        </w:rPr>
        <w:t xml:space="preserve">To provide </w:t>
      </w:r>
      <w:r w:rsidR="00807AB9" w:rsidRPr="00325CAB">
        <w:rPr>
          <w:rFonts w:asciiTheme="minorHAnsi" w:hAnsiTheme="minorHAnsi"/>
          <w:noProof/>
        </w:rPr>
        <w:t xml:space="preserve">guidance on how to identify particpant costs within a proposal budget and to ensure the University is in compliance with sponsor regulations as they relate to particpant costs expended </w:t>
      </w:r>
      <w:r w:rsidR="00CC425E" w:rsidRPr="00325CAB">
        <w:rPr>
          <w:rFonts w:asciiTheme="minorHAnsi" w:hAnsiTheme="minorHAnsi"/>
          <w:noProof/>
        </w:rPr>
        <w:t xml:space="preserve">over the life of the award </w:t>
      </w:r>
      <w:r w:rsidR="00807AB9" w:rsidRPr="00325CAB">
        <w:rPr>
          <w:rFonts w:asciiTheme="minorHAnsi" w:hAnsiTheme="minorHAnsi"/>
          <w:noProof/>
        </w:rPr>
        <w:t xml:space="preserve">according to the </w:t>
      </w:r>
      <w:r w:rsidR="00CC425E" w:rsidRPr="00325CAB">
        <w:rPr>
          <w:rFonts w:asciiTheme="minorHAnsi" w:hAnsiTheme="minorHAnsi"/>
          <w:noProof/>
        </w:rPr>
        <w:t>approved budget justification and intended purpose.</w:t>
      </w:r>
    </w:p>
    <w:p w:rsidR="003D0031" w:rsidRPr="00325CAB" w:rsidRDefault="00C74DF6" w:rsidP="005A2F03">
      <w:pPr>
        <w:spacing w:after="120" w:line="240" w:lineRule="auto"/>
        <w:rPr>
          <w:rFonts w:asciiTheme="minorHAnsi" w:hAnsiTheme="minorHAnsi"/>
          <w:b/>
          <w:noProof/>
        </w:rPr>
      </w:pPr>
      <w:r w:rsidRPr="00325CAB">
        <w:rPr>
          <w:rFonts w:asciiTheme="minorHAnsi" w:hAnsiTheme="minorHAnsi"/>
          <w:b/>
          <w:noProof/>
        </w:rPr>
        <w:t xml:space="preserve">II. </w:t>
      </w:r>
      <w:r w:rsidR="00CC425E" w:rsidRPr="00325CAB">
        <w:rPr>
          <w:rFonts w:asciiTheme="minorHAnsi" w:hAnsiTheme="minorHAnsi"/>
          <w:b/>
          <w:noProof/>
        </w:rPr>
        <w:t>What are Participant Costs?</w:t>
      </w:r>
    </w:p>
    <w:p w:rsidR="00CC425E" w:rsidRPr="00325CAB" w:rsidRDefault="00CC425E" w:rsidP="00CC425E">
      <w:pPr>
        <w:rPr>
          <w:rFonts w:asciiTheme="minorHAnsi" w:hAnsiTheme="minorHAnsi" w:cs="Arial"/>
        </w:rPr>
      </w:pPr>
      <w:r w:rsidRPr="00325CAB">
        <w:rPr>
          <w:rFonts w:asciiTheme="minorHAnsi" w:hAnsiTheme="minorHAnsi" w:cs="Arial"/>
        </w:rPr>
        <w:t>Participant support costs (as defined in 2 CFR 200.75) are direct costs including stipends or subsistence allowances, travel allowances, and registration fees paid to or on behalf of participants or trainees (but not employees) in connection with conferences or training projects.   The Uniform Guidance (2 CRF 200) requires prior approval of the Federal Agency in order to incur Participant Support Costs under federally sponsored awards.  The Participant Support Costs must be incurred within the period of performance of the project and be specifically allowed by the sponsoring agency.</w:t>
      </w:r>
      <w:r w:rsidR="00BA06E0" w:rsidRPr="00325CAB">
        <w:rPr>
          <w:rFonts w:asciiTheme="minorHAnsi" w:hAnsiTheme="minorHAnsi" w:cs="Arial"/>
        </w:rPr>
        <w:t xml:space="preserve"> </w:t>
      </w:r>
      <w:r w:rsidR="00253380" w:rsidRPr="00325CAB">
        <w:rPr>
          <w:rFonts w:asciiTheme="minorHAnsi" w:hAnsiTheme="minorHAnsi" w:cs="Arial"/>
        </w:rPr>
        <w:t>The National Science foundation (NSF) defines participant support costs as “direct costs for items such as stipends or subsistence allowances, travel allowances and registration fees paid to or on behalf of participants or trainees (but not employees) in connection with meetings, conferences, symposia or training projects. For some educational projects conducted at local school districts, however, the participants being trained are employees.  In such cases, the costs must be classified as participant support if payment is made through a stipend or training allowance method. The school district must have an accounting mechanism in place (i.e. sub-account code) to differentiate between regular salary and stipend payments.”</w:t>
      </w:r>
      <w:r w:rsidR="007917DB" w:rsidRPr="00325CAB">
        <w:t xml:space="preserve"> </w:t>
      </w:r>
      <w:r w:rsidR="00FE7152" w:rsidRPr="00325CAB">
        <w:t>(</w:t>
      </w:r>
      <w:hyperlink r:id="rId9" w:history="1">
        <w:r w:rsidR="00FE7152" w:rsidRPr="00325CAB">
          <w:rPr>
            <w:rStyle w:val="Hyperlink"/>
            <w:rFonts w:asciiTheme="minorHAnsi" w:hAnsiTheme="minorHAnsi" w:cs="Arial"/>
          </w:rPr>
          <w:t>www.nsf.gov/pubs/policydocs/pappguide/nsf10_1/aag_5.jsp</w:t>
        </w:r>
      </w:hyperlink>
      <w:r w:rsidR="00FE7152" w:rsidRPr="00325CAB">
        <w:rPr>
          <w:rFonts w:asciiTheme="minorHAnsi" w:hAnsiTheme="minorHAnsi" w:cs="Arial"/>
        </w:rPr>
        <w:t xml:space="preserve">) </w:t>
      </w:r>
    </w:p>
    <w:p w:rsidR="00957836" w:rsidRPr="00325CAB" w:rsidRDefault="00C74DF6" w:rsidP="005A2F03">
      <w:pPr>
        <w:spacing w:after="120" w:line="240" w:lineRule="auto"/>
        <w:rPr>
          <w:rFonts w:asciiTheme="minorHAnsi" w:hAnsiTheme="minorHAnsi"/>
          <w:b/>
          <w:noProof/>
        </w:rPr>
      </w:pPr>
      <w:r w:rsidRPr="00325CAB">
        <w:rPr>
          <w:rFonts w:asciiTheme="minorHAnsi" w:hAnsiTheme="minorHAnsi"/>
          <w:b/>
          <w:noProof/>
        </w:rPr>
        <w:t xml:space="preserve">III. </w:t>
      </w:r>
      <w:r w:rsidR="00CC425E" w:rsidRPr="00325CAB">
        <w:rPr>
          <w:rFonts w:asciiTheme="minorHAnsi" w:hAnsiTheme="minorHAnsi"/>
          <w:b/>
          <w:noProof/>
        </w:rPr>
        <w:t>Who is a participant?</w:t>
      </w:r>
    </w:p>
    <w:p w:rsidR="00CC425E" w:rsidRPr="00325CAB" w:rsidRDefault="00CC425E" w:rsidP="00CC425E">
      <w:pPr>
        <w:rPr>
          <w:rFonts w:asciiTheme="minorHAnsi" w:hAnsiTheme="minorHAnsi" w:cs="Arial"/>
        </w:rPr>
      </w:pPr>
      <w:r w:rsidRPr="00325CAB">
        <w:rPr>
          <w:rFonts w:asciiTheme="minorHAnsi" w:hAnsiTheme="minorHAnsi" w:cs="Arial"/>
        </w:rPr>
        <w:t>A participant is defined as a non-URI employee who is the recipient, not the provider, of a service or training associated with a workshop, conference, seminar, symposium or other short-term instructional or information sharing activity.  Participants do not perform work or services for the project or program unless it is for their own benefit.  Participants may include students, scholars, and scientists from other institutions, representatives from the private sector, teachers, and state or local government agency personnel.</w:t>
      </w:r>
      <w:r w:rsidR="00253380" w:rsidRPr="00325CAB">
        <w:rPr>
          <w:rFonts w:asciiTheme="minorHAnsi" w:hAnsiTheme="minorHAnsi" w:cs="Arial"/>
        </w:rPr>
        <w:t xml:space="preserve">  In general, participants are the recipients of service or training provided at a workshop, conference, seminar, symposia, or other short-term instructional or information sharing activity.  The participants are not required to provide any deliverable to the university or third party, nor would they be disciplined or terminated for their failure to perform.</w:t>
      </w:r>
    </w:p>
    <w:p w:rsidR="000130DC" w:rsidRPr="00325CAB" w:rsidRDefault="000130DC" w:rsidP="000130DC">
      <w:pPr>
        <w:spacing w:after="120" w:line="240" w:lineRule="auto"/>
        <w:rPr>
          <w:rFonts w:asciiTheme="minorHAnsi" w:hAnsiTheme="minorHAnsi"/>
          <w:b/>
          <w:noProof/>
        </w:rPr>
      </w:pPr>
      <w:r w:rsidRPr="00325CAB">
        <w:rPr>
          <w:rFonts w:asciiTheme="minorHAnsi" w:hAnsiTheme="minorHAnsi"/>
          <w:b/>
          <w:noProof/>
        </w:rPr>
        <w:t xml:space="preserve">IV. </w:t>
      </w:r>
      <w:r w:rsidR="00FE7152" w:rsidRPr="00325CAB">
        <w:rPr>
          <w:rFonts w:asciiTheme="minorHAnsi" w:hAnsiTheme="minorHAnsi"/>
          <w:b/>
          <w:noProof/>
        </w:rPr>
        <w:t>Participant Support Costs Budget</w:t>
      </w:r>
    </w:p>
    <w:p w:rsidR="00325CAB" w:rsidRPr="00325CAB" w:rsidRDefault="00FE7152" w:rsidP="00325CAB">
      <w:pPr>
        <w:rPr>
          <w:rFonts w:asciiTheme="minorHAnsi" w:hAnsiTheme="minorHAnsi" w:cs="Arial"/>
        </w:rPr>
      </w:pPr>
      <w:r w:rsidRPr="00325CAB">
        <w:rPr>
          <w:rFonts w:asciiTheme="minorHAnsi" w:hAnsiTheme="minorHAnsi" w:cs="Arial"/>
        </w:rPr>
        <w:t>Participant Support Costs are listed as a separate category within the proposal budget. Once the award is received the OSP Post Award staff reviews the award budget and any special terms and conditions.  The Participant Support Costs budget category will initiate communication between OSP and PI to gain a better understanding of what type of Participant Support Costs will be involved to ensure proper setup has been completed.</w:t>
      </w:r>
      <w:r w:rsidR="00325CAB" w:rsidRPr="00325CAB">
        <w:rPr>
          <w:rFonts w:asciiTheme="minorHAnsi" w:hAnsiTheme="minorHAnsi" w:cs="Arial"/>
        </w:rPr>
        <w:t xml:space="preserve">  </w:t>
      </w:r>
    </w:p>
    <w:p w:rsidR="00EA794F" w:rsidRPr="00325CAB" w:rsidRDefault="00EA794F" w:rsidP="00325CAB">
      <w:pPr>
        <w:rPr>
          <w:rFonts w:asciiTheme="minorHAnsi" w:hAnsiTheme="minorHAnsi" w:cs="Arial"/>
          <w:b/>
        </w:rPr>
      </w:pPr>
      <w:r w:rsidRPr="00325CAB">
        <w:rPr>
          <w:rFonts w:asciiTheme="minorHAnsi" w:hAnsiTheme="minorHAnsi" w:cs="Arial"/>
          <w:b/>
        </w:rPr>
        <w:t xml:space="preserve">V. </w:t>
      </w:r>
      <w:r w:rsidR="00325CAB" w:rsidRPr="00325CAB">
        <w:rPr>
          <w:rFonts w:asciiTheme="minorHAnsi" w:hAnsiTheme="minorHAnsi" w:cs="Arial"/>
          <w:b/>
        </w:rPr>
        <w:t>Participant Support Costs and F&amp;A</w:t>
      </w:r>
    </w:p>
    <w:p w:rsidR="00325CAB" w:rsidRPr="00325CAB" w:rsidRDefault="00325CAB" w:rsidP="00325CAB">
      <w:pPr>
        <w:rPr>
          <w:rFonts w:asciiTheme="minorHAnsi" w:hAnsiTheme="minorHAnsi" w:cs="Arial"/>
        </w:rPr>
      </w:pPr>
      <w:r w:rsidRPr="00325CAB">
        <w:rPr>
          <w:rFonts w:asciiTheme="minorHAnsi" w:hAnsiTheme="minorHAnsi" w:cs="Arial"/>
        </w:rPr>
        <w:lastRenderedPageBreak/>
        <w:t>Participant Support Costs are exempt from F&amp;A in federally sponsored projects as stated by the Uniform Guidance. For Non-Federal awards, specific guidelines within each award should be utilized to determine if F&amp;A is allowable on the Participant Support Costs.  If there is no award</w:t>
      </w:r>
      <w:r w:rsidRPr="00325CAB">
        <w:rPr>
          <w:rFonts w:asciiTheme="minorHAnsi" w:hAnsiTheme="minorHAnsi" w:cs="Cambria Math"/>
        </w:rPr>
        <w:t>‐</w:t>
      </w:r>
      <w:r w:rsidRPr="00325CAB">
        <w:rPr>
          <w:rFonts w:asciiTheme="minorHAnsi" w:hAnsiTheme="minorHAnsi" w:cs="Arial"/>
        </w:rPr>
        <w:t>specific guidance, then the full F&amp;A rate for the award should be charged. </w:t>
      </w:r>
    </w:p>
    <w:p w:rsidR="00325CAB" w:rsidRPr="00325CAB" w:rsidRDefault="00325CAB" w:rsidP="00325CAB">
      <w:pPr>
        <w:rPr>
          <w:rFonts w:asciiTheme="minorHAnsi" w:hAnsiTheme="minorHAnsi" w:cs="Arial"/>
          <w:b/>
        </w:rPr>
      </w:pPr>
      <w:r w:rsidRPr="00325CAB">
        <w:rPr>
          <w:rFonts w:asciiTheme="minorHAnsi" w:hAnsiTheme="minorHAnsi" w:cs="Arial"/>
          <w:b/>
        </w:rPr>
        <w:t>VI. Rebudgeting Participant Support Costs</w:t>
      </w:r>
    </w:p>
    <w:p w:rsidR="007370C1" w:rsidRDefault="00325CAB" w:rsidP="00325CAB">
      <w:pPr>
        <w:rPr>
          <w:rStyle w:val="Emphasis"/>
          <w:rFonts w:asciiTheme="minorHAnsi" w:hAnsiTheme="minorHAnsi" w:cs="Arial"/>
          <w:color w:val="333333"/>
          <w:bdr w:val="none" w:sz="0" w:space="0" w:color="auto" w:frame="1"/>
          <w:shd w:val="clear" w:color="auto" w:fill="FFFFFF"/>
        </w:rPr>
      </w:pPr>
      <w:r w:rsidRPr="00325CAB">
        <w:rPr>
          <w:rFonts w:asciiTheme="minorHAnsi" w:hAnsiTheme="minorHAnsi" w:cs="Arial"/>
          <w:bdr w:val="none" w:sz="0" w:space="0" w:color="auto" w:frame="1"/>
        </w:rPr>
        <w:t xml:space="preserve">All rebudgeting of Participant Supports Costs to another budget category requires the approval of the Federal agency.  For non-Federal sponsors, award specific guidelines should be consulted before any rebudgeting of Participant Support Costs (Refer to OSP Budget Revision Policy and Form, </w:t>
      </w:r>
      <w:hyperlink r:id="rId10" w:history="1">
        <w:r w:rsidRPr="005618A1">
          <w:rPr>
            <w:rStyle w:val="Hyperlink"/>
            <w:rFonts w:asciiTheme="minorHAnsi" w:hAnsiTheme="minorHAnsi" w:cs="Arial"/>
            <w:bdr w:val="none" w:sz="0" w:space="0" w:color="auto" w:frame="1"/>
            <w:shd w:val="clear" w:color="auto" w:fill="FFFFFF"/>
          </w:rPr>
          <w:t>Post Award Budget Revision Policy</w:t>
        </w:r>
      </w:hyperlink>
      <w:r w:rsidRPr="00325CAB">
        <w:rPr>
          <w:rFonts w:asciiTheme="minorHAnsi" w:hAnsiTheme="minorHAnsi" w:cs="Arial"/>
          <w:color w:val="333333"/>
          <w:shd w:val="clear" w:color="auto" w:fill="FFFFFF"/>
        </w:rPr>
        <w:t> </w:t>
      </w:r>
      <w:r w:rsidRPr="00325CAB">
        <w:rPr>
          <w:rStyle w:val="Emphasis"/>
          <w:rFonts w:asciiTheme="minorHAnsi" w:hAnsiTheme="minorHAnsi" w:cs="Arial"/>
          <w:color w:val="333333"/>
          <w:bdr w:val="none" w:sz="0" w:space="0" w:color="auto" w:frame="1"/>
          <w:shd w:val="clear" w:color="auto" w:fill="FFFFFF"/>
        </w:rPr>
        <w:t>(02-2018),</w:t>
      </w:r>
      <w:r w:rsidRPr="00325CAB">
        <w:rPr>
          <w:rFonts w:asciiTheme="minorHAnsi" w:hAnsiTheme="minorHAnsi" w:cs="Arial"/>
        </w:rPr>
        <w:t xml:space="preserve"> </w:t>
      </w:r>
      <w:bookmarkStart w:id="0" w:name="_GoBack"/>
      <w:r w:rsidR="005618A1" w:rsidRPr="005618A1">
        <w:rPr>
          <w:rStyle w:val="Hyperlink"/>
          <w:rFonts w:asciiTheme="minorHAnsi" w:hAnsiTheme="minorHAnsi" w:cs="Arial"/>
          <w:bdr w:val="none" w:sz="0" w:space="0" w:color="auto" w:frame="1"/>
          <w:shd w:val="clear" w:color="auto" w:fill="FFFFFF"/>
        </w:rPr>
        <w:fldChar w:fldCharType="begin"/>
      </w:r>
      <w:r w:rsidR="005618A1" w:rsidRPr="005618A1">
        <w:rPr>
          <w:rStyle w:val="Hyperlink"/>
          <w:rFonts w:asciiTheme="minorHAnsi" w:hAnsiTheme="minorHAnsi" w:cs="Arial"/>
          <w:bdr w:val="none" w:sz="0" w:space="0" w:color="auto" w:frame="1"/>
          <w:shd w:val="clear" w:color="auto" w:fill="FFFFFF"/>
        </w:rPr>
        <w:instrText>HYPERLINK "https://web.uri.edu/research-admin/manage-your-grant-award/award-management/post-award-budget-revision-request-form-for-peoplesoft-grants/"</w:instrText>
      </w:r>
      <w:r w:rsidR="005618A1" w:rsidRPr="005618A1">
        <w:rPr>
          <w:rStyle w:val="Hyperlink"/>
          <w:rFonts w:asciiTheme="minorHAnsi" w:hAnsiTheme="minorHAnsi" w:cs="Arial"/>
          <w:bdr w:val="none" w:sz="0" w:space="0" w:color="auto" w:frame="1"/>
          <w:shd w:val="clear" w:color="auto" w:fill="FFFFFF"/>
        </w:rPr>
      </w:r>
      <w:r w:rsidR="005618A1" w:rsidRPr="005618A1">
        <w:rPr>
          <w:rStyle w:val="Hyperlink"/>
          <w:rFonts w:asciiTheme="minorHAnsi" w:hAnsiTheme="minorHAnsi" w:cs="Arial"/>
          <w:bdr w:val="none" w:sz="0" w:space="0" w:color="auto" w:frame="1"/>
          <w:shd w:val="clear" w:color="auto" w:fill="FFFFFF"/>
        </w:rPr>
        <w:fldChar w:fldCharType="separate"/>
      </w:r>
      <w:r w:rsidRPr="005618A1">
        <w:rPr>
          <w:rStyle w:val="Hyperlink"/>
          <w:rFonts w:asciiTheme="minorHAnsi" w:hAnsiTheme="minorHAnsi" w:cs="Arial"/>
          <w:bdr w:val="none" w:sz="0" w:space="0" w:color="auto" w:frame="1"/>
          <w:shd w:val="clear" w:color="auto" w:fill="FFFFFF"/>
        </w:rPr>
        <w:t>Post Award Budget Revision Request Form</w:t>
      </w:r>
      <w:r w:rsidR="005618A1" w:rsidRPr="005618A1">
        <w:rPr>
          <w:rStyle w:val="Hyperlink"/>
          <w:rFonts w:asciiTheme="minorHAnsi" w:hAnsiTheme="minorHAnsi" w:cs="Arial"/>
          <w:bdr w:val="none" w:sz="0" w:space="0" w:color="auto" w:frame="1"/>
          <w:shd w:val="clear" w:color="auto" w:fill="FFFFFF"/>
        </w:rPr>
        <w:fldChar w:fldCharType="end"/>
      </w:r>
      <w:bookmarkEnd w:id="0"/>
      <w:r w:rsidRPr="00325CAB">
        <w:rPr>
          <w:rStyle w:val="Emphasis"/>
          <w:rFonts w:asciiTheme="minorHAnsi" w:hAnsiTheme="minorHAnsi" w:cs="Arial"/>
          <w:color w:val="333333"/>
          <w:bdr w:val="none" w:sz="0" w:space="0" w:color="auto" w:frame="1"/>
          <w:shd w:val="clear" w:color="auto" w:fill="FFFFFF"/>
        </w:rPr>
        <w:t> (02-2018).</w:t>
      </w:r>
      <w:r>
        <w:rPr>
          <w:rStyle w:val="Emphasis"/>
          <w:rFonts w:asciiTheme="minorHAnsi" w:hAnsiTheme="minorHAnsi" w:cs="Arial"/>
          <w:color w:val="333333"/>
          <w:bdr w:val="none" w:sz="0" w:space="0" w:color="auto" w:frame="1"/>
          <w:shd w:val="clear" w:color="auto" w:fill="FFFFFF"/>
        </w:rPr>
        <w:t xml:space="preserve"> </w:t>
      </w:r>
    </w:p>
    <w:p w:rsidR="00325CAB" w:rsidRDefault="00325CAB" w:rsidP="00325CAB">
      <w:pPr>
        <w:rPr>
          <w:rFonts w:asciiTheme="minorHAnsi" w:hAnsiTheme="minorHAnsi" w:cs="Arial"/>
        </w:rPr>
      </w:pPr>
      <w:r>
        <w:rPr>
          <w:rStyle w:val="Emphasis"/>
          <w:rFonts w:asciiTheme="minorHAnsi" w:hAnsiTheme="minorHAnsi" w:cs="Arial"/>
          <w:i w:val="0"/>
          <w:color w:val="333333"/>
          <w:bdr w:val="none" w:sz="0" w:space="0" w:color="auto" w:frame="1"/>
          <w:shd w:val="clear" w:color="auto" w:fill="FFFFFF"/>
        </w:rPr>
        <w:t xml:space="preserve">According to NSF, </w:t>
      </w:r>
      <w:hyperlink r:id="rId11" w:history="1">
        <w:r w:rsidRPr="00325CAB">
          <w:rPr>
            <w:rStyle w:val="Hyperlink"/>
            <w:rFonts w:asciiTheme="minorHAnsi" w:hAnsiTheme="minorHAnsi" w:cs="Arial"/>
          </w:rPr>
          <w:t>www.nsf.gov/pubs/policydocs/pappguide/nsf10_1/aag_5.jsp</w:t>
        </w:r>
      </w:hyperlink>
      <w:r>
        <w:rPr>
          <w:rFonts w:asciiTheme="minorHAnsi" w:hAnsiTheme="minorHAnsi" w:cs="Arial"/>
        </w:rPr>
        <w:t xml:space="preserve">, Chapter V, Section 8a-b: </w:t>
      </w:r>
    </w:p>
    <w:p w:rsidR="00325CAB" w:rsidRDefault="00325CAB" w:rsidP="00325CAB">
      <w:pPr>
        <w:rPr>
          <w:rFonts w:asciiTheme="minorHAnsi" w:hAnsiTheme="minorHAnsi" w:cs="Arial"/>
        </w:rPr>
      </w:pPr>
      <w:r>
        <w:rPr>
          <w:rFonts w:asciiTheme="minorHAnsi" w:hAnsiTheme="minorHAnsi" w:cs="Arial"/>
        </w:rPr>
        <w:t>“Funds provided for participant support may not be used by grantees for other categories of expense without the specific prior approval of the cognizant NSF Program Officer.  Therefore, awardees organizations must account for participant support costs separately.</w:t>
      </w:r>
    </w:p>
    <w:p w:rsidR="00325CAB" w:rsidRDefault="00325CAB" w:rsidP="00325CAB">
      <w:pPr>
        <w:rPr>
          <w:rFonts w:asciiTheme="minorHAnsi" w:hAnsiTheme="minorHAnsi" w:cs="Arial"/>
          <w:b/>
        </w:rPr>
      </w:pPr>
      <w:r w:rsidRPr="00325CAB">
        <w:rPr>
          <w:rFonts w:asciiTheme="minorHAnsi" w:hAnsiTheme="minorHAnsi" w:cs="Arial"/>
          <w:b/>
        </w:rPr>
        <w:t>VII. Subawards for Participant Support Costs</w:t>
      </w:r>
    </w:p>
    <w:p w:rsidR="009A1BD9" w:rsidRPr="009A1BD9" w:rsidRDefault="009A1BD9" w:rsidP="009A1BD9">
      <w:pPr>
        <w:rPr>
          <w:rFonts w:asciiTheme="minorHAnsi" w:hAnsiTheme="minorHAnsi" w:cs="Arial"/>
        </w:rPr>
      </w:pPr>
      <w:r w:rsidRPr="009A1BD9">
        <w:rPr>
          <w:rFonts w:asciiTheme="minorHAnsi" w:hAnsiTheme="minorHAnsi" w:cs="Arial"/>
        </w:rPr>
        <w:t>If a subaward is issued where participant support has been budgeted, the PI must monitor sub awardee invoices to ensure that the Participant Support Costs are being accounted for separately, and that these costs are allowable and allocable.</w:t>
      </w:r>
      <w:r w:rsidR="00E07185">
        <w:rPr>
          <w:rFonts w:asciiTheme="minorHAnsi" w:hAnsiTheme="minorHAnsi" w:cs="Arial"/>
        </w:rPr>
        <w:t xml:space="preserve">  Before a subaward is initiated prior approval is required if it was not included in the original proposal budget.</w:t>
      </w: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b/>
        </w:rPr>
      </w:pPr>
    </w:p>
    <w:p w:rsidR="00325CAB" w:rsidRPr="00325CAB" w:rsidRDefault="00325CAB" w:rsidP="00325CAB">
      <w:pPr>
        <w:rPr>
          <w:rFonts w:asciiTheme="minorHAnsi" w:hAnsiTheme="minorHAnsi" w:cs="Arial"/>
          <w:sz w:val="21"/>
          <w:szCs w:val="21"/>
        </w:rPr>
      </w:pPr>
    </w:p>
    <w:p w:rsidR="0077197E" w:rsidRPr="0077197E" w:rsidRDefault="00CD3ADD" w:rsidP="0077197E">
      <w:pPr>
        <w:spacing w:after="120" w:line="240" w:lineRule="auto"/>
        <w:rPr>
          <w:noProof/>
          <w:sz w:val="21"/>
          <w:szCs w:val="21"/>
        </w:rPr>
      </w:pPr>
      <w:r w:rsidRPr="0077197E">
        <w:rPr>
          <w:rFonts w:asciiTheme="minorHAnsi" w:hAnsiTheme="minorHAnsi" w:cs="Arial"/>
          <w:sz w:val="21"/>
          <w:szCs w:val="21"/>
        </w:rPr>
        <w:t xml:space="preserve">       </w:t>
      </w:r>
    </w:p>
    <w:sectPr w:rsidR="0077197E" w:rsidRPr="0077197E" w:rsidSect="008770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87" w:rsidRDefault="008D3E87" w:rsidP="00A50164">
      <w:pPr>
        <w:spacing w:after="0" w:line="240" w:lineRule="auto"/>
      </w:pPr>
      <w:r>
        <w:separator/>
      </w:r>
    </w:p>
  </w:endnote>
  <w:endnote w:type="continuationSeparator" w:id="0">
    <w:p w:rsidR="008D3E87" w:rsidRDefault="008D3E87" w:rsidP="00A5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65" w:rsidRDefault="00017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01" w:rsidRDefault="00805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65" w:rsidRDefault="0001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87" w:rsidRDefault="008D3E87" w:rsidP="00A50164">
      <w:pPr>
        <w:spacing w:after="0" w:line="240" w:lineRule="auto"/>
      </w:pPr>
      <w:r>
        <w:separator/>
      </w:r>
    </w:p>
  </w:footnote>
  <w:footnote w:type="continuationSeparator" w:id="0">
    <w:p w:rsidR="008D3E87" w:rsidRDefault="008D3E87" w:rsidP="00A5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65" w:rsidRDefault="00017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65" w:rsidRDefault="00017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65" w:rsidRDefault="00017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47A1"/>
    <w:multiLevelType w:val="hybridMultilevel"/>
    <w:tmpl w:val="19DA3AE4"/>
    <w:lvl w:ilvl="0" w:tplc="8E329F9E">
      <w:start w:val="1"/>
      <w:numFmt w:val="decimal"/>
      <w:lvlText w:val="%1."/>
      <w:lvlJc w:val="left"/>
      <w:pPr>
        <w:ind w:left="1440" w:hanging="360"/>
      </w:pPr>
      <w:rPr>
        <w:rFonts w:ascii="Arial" w:hAnsi="Arial" w:cs="Arial"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35225D"/>
    <w:multiLevelType w:val="hybridMultilevel"/>
    <w:tmpl w:val="17E07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74F44"/>
    <w:multiLevelType w:val="hybridMultilevel"/>
    <w:tmpl w:val="C03E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562E9"/>
    <w:multiLevelType w:val="hybridMultilevel"/>
    <w:tmpl w:val="7C5675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294131"/>
    <w:multiLevelType w:val="hybridMultilevel"/>
    <w:tmpl w:val="ACB41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13658"/>
    <w:multiLevelType w:val="hybridMultilevel"/>
    <w:tmpl w:val="0FF214A8"/>
    <w:lvl w:ilvl="0" w:tplc="4712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BE6CD1"/>
    <w:multiLevelType w:val="hybridMultilevel"/>
    <w:tmpl w:val="F8AC8FDE"/>
    <w:lvl w:ilvl="0" w:tplc="BF2A5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15A4E"/>
    <w:multiLevelType w:val="hybridMultilevel"/>
    <w:tmpl w:val="7BA028BC"/>
    <w:lvl w:ilvl="0" w:tplc="D2908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49"/>
    <w:rsid w:val="000130DC"/>
    <w:rsid w:val="00017E65"/>
    <w:rsid w:val="000235A1"/>
    <w:rsid w:val="0003256E"/>
    <w:rsid w:val="000456A7"/>
    <w:rsid w:val="00053436"/>
    <w:rsid w:val="00055ADF"/>
    <w:rsid w:val="000D288B"/>
    <w:rsid w:val="000E3F9E"/>
    <w:rsid w:val="001266F1"/>
    <w:rsid w:val="00126751"/>
    <w:rsid w:val="00131161"/>
    <w:rsid w:val="0013160C"/>
    <w:rsid w:val="001642A7"/>
    <w:rsid w:val="001879E3"/>
    <w:rsid w:val="00193026"/>
    <w:rsid w:val="00243C2A"/>
    <w:rsid w:val="00253380"/>
    <w:rsid w:val="00325CAB"/>
    <w:rsid w:val="003267B1"/>
    <w:rsid w:val="00356B59"/>
    <w:rsid w:val="003C3DD7"/>
    <w:rsid w:val="003D0031"/>
    <w:rsid w:val="003E576E"/>
    <w:rsid w:val="00407E3E"/>
    <w:rsid w:val="00422513"/>
    <w:rsid w:val="004423B3"/>
    <w:rsid w:val="00445D7A"/>
    <w:rsid w:val="00445E68"/>
    <w:rsid w:val="004F0338"/>
    <w:rsid w:val="00535D71"/>
    <w:rsid w:val="005618A1"/>
    <w:rsid w:val="00565B0F"/>
    <w:rsid w:val="005A2F03"/>
    <w:rsid w:val="005B52B6"/>
    <w:rsid w:val="00642DCF"/>
    <w:rsid w:val="00645662"/>
    <w:rsid w:val="00680EF7"/>
    <w:rsid w:val="0069421A"/>
    <w:rsid w:val="00707945"/>
    <w:rsid w:val="007117F4"/>
    <w:rsid w:val="007370C1"/>
    <w:rsid w:val="00750853"/>
    <w:rsid w:val="0077197E"/>
    <w:rsid w:val="007917DB"/>
    <w:rsid w:val="00805801"/>
    <w:rsid w:val="00807AB9"/>
    <w:rsid w:val="008770EB"/>
    <w:rsid w:val="008B2716"/>
    <w:rsid w:val="008D3E87"/>
    <w:rsid w:val="00910015"/>
    <w:rsid w:val="009362D2"/>
    <w:rsid w:val="009431ED"/>
    <w:rsid w:val="00957836"/>
    <w:rsid w:val="009A1BD9"/>
    <w:rsid w:val="009E704F"/>
    <w:rsid w:val="00A3119F"/>
    <w:rsid w:val="00A50164"/>
    <w:rsid w:val="00A609B5"/>
    <w:rsid w:val="00A71191"/>
    <w:rsid w:val="00A761AD"/>
    <w:rsid w:val="00A97CD0"/>
    <w:rsid w:val="00AB075B"/>
    <w:rsid w:val="00AC1E8D"/>
    <w:rsid w:val="00AE2EDD"/>
    <w:rsid w:val="00BA06E0"/>
    <w:rsid w:val="00BF666F"/>
    <w:rsid w:val="00C63B5A"/>
    <w:rsid w:val="00C74DF6"/>
    <w:rsid w:val="00C75834"/>
    <w:rsid w:val="00CB0223"/>
    <w:rsid w:val="00CC00A3"/>
    <w:rsid w:val="00CC425E"/>
    <w:rsid w:val="00CD3ADD"/>
    <w:rsid w:val="00D23268"/>
    <w:rsid w:val="00D26ADA"/>
    <w:rsid w:val="00D575E4"/>
    <w:rsid w:val="00D77730"/>
    <w:rsid w:val="00DB46A6"/>
    <w:rsid w:val="00DD1ABC"/>
    <w:rsid w:val="00E01E49"/>
    <w:rsid w:val="00E07185"/>
    <w:rsid w:val="00E37A73"/>
    <w:rsid w:val="00E70D03"/>
    <w:rsid w:val="00EA794F"/>
    <w:rsid w:val="00EB0030"/>
    <w:rsid w:val="00EB1814"/>
    <w:rsid w:val="00EE1ABD"/>
    <w:rsid w:val="00F04813"/>
    <w:rsid w:val="00F42A85"/>
    <w:rsid w:val="00F546E5"/>
    <w:rsid w:val="00FB747B"/>
    <w:rsid w:val="00FE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B3153B-4A2A-46CC-A899-FD13A66E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1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E4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01E49"/>
    <w:rPr>
      <w:rFonts w:ascii="Tahoma" w:hAnsi="Tahoma" w:cs="Tahoma"/>
      <w:sz w:val="16"/>
      <w:szCs w:val="16"/>
    </w:rPr>
  </w:style>
  <w:style w:type="paragraph" w:styleId="Header">
    <w:name w:val="header"/>
    <w:basedOn w:val="Normal"/>
    <w:link w:val="HeaderChar"/>
    <w:uiPriority w:val="99"/>
    <w:semiHidden/>
    <w:unhideWhenUsed/>
    <w:rsid w:val="00A501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164"/>
    <w:rPr>
      <w:rFonts w:ascii="Calibri" w:eastAsia="Calibri" w:hAnsi="Calibri" w:cs="Times New Roman"/>
    </w:rPr>
  </w:style>
  <w:style w:type="paragraph" w:styleId="Footer">
    <w:name w:val="footer"/>
    <w:basedOn w:val="Normal"/>
    <w:link w:val="FooterChar"/>
    <w:uiPriority w:val="99"/>
    <w:semiHidden/>
    <w:unhideWhenUsed/>
    <w:rsid w:val="00A501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164"/>
    <w:rPr>
      <w:rFonts w:ascii="Calibri" w:eastAsia="Calibri" w:hAnsi="Calibri" w:cs="Times New Roman"/>
    </w:rPr>
  </w:style>
  <w:style w:type="paragraph" w:styleId="NoSpacing">
    <w:name w:val="No Spacing"/>
    <w:uiPriority w:val="1"/>
    <w:qFormat/>
    <w:rsid w:val="000456A7"/>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3D003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D0031"/>
    <w:rPr>
      <w:rFonts w:ascii="Arial" w:eastAsia="Arial" w:hAnsi="Arial" w:cs="Arial"/>
      <w:sz w:val="24"/>
      <w:szCs w:val="24"/>
    </w:rPr>
  </w:style>
  <w:style w:type="paragraph" w:styleId="ListParagraph">
    <w:name w:val="List Paragraph"/>
    <w:basedOn w:val="Normal"/>
    <w:uiPriority w:val="34"/>
    <w:qFormat/>
    <w:rsid w:val="00EB0030"/>
    <w:pPr>
      <w:ind w:left="720"/>
      <w:contextualSpacing/>
    </w:pPr>
  </w:style>
  <w:style w:type="character" w:styleId="Hyperlink">
    <w:name w:val="Hyperlink"/>
    <w:basedOn w:val="DefaultParagraphFont"/>
    <w:uiPriority w:val="99"/>
    <w:unhideWhenUsed/>
    <w:rsid w:val="00EB0030"/>
    <w:rPr>
      <w:color w:val="0000FF"/>
      <w:u w:val="single"/>
    </w:rPr>
  </w:style>
  <w:style w:type="paragraph" w:styleId="NormalWeb">
    <w:name w:val="Normal (Web)"/>
    <w:basedOn w:val="Normal"/>
    <w:uiPriority w:val="99"/>
    <w:semiHidden/>
    <w:unhideWhenUsed/>
    <w:rsid w:val="000235A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25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5400">
      <w:bodyDiv w:val="1"/>
      <w:marLeft w:val="0"/>
      <w:marRight w:val="0"/>
      <w:marTop w:val="0"/>
      <w:marBottom w:val="0"/>
      <w:divBdr>
        <w:top w:val="none" w:sz="0" w:space="0" w:color="auto"/>
        <w:left w:val="none" w:sz="0" w:space="0" w:color="auto"/>
        <w:bottom w:val="none" w:sz="0" w:space="0" w:color="auto"/>
        <w:right w:val="none" w:sz="0" w:space="0" w:color="auto"/>
      </w:divBdr>
      <w:divsChild>
        <w:div w:id="87970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pubs/policydocs/pappguide/nsf10_1/aag_5.j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uri.edu/research-admin/files/Post-Award-Budget-Revision-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f.gov/pubs/policydocs/pappguide/nsf10_1/aag_5.j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5D95-8100-4B02-9745-5C2BAD35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ehayes</dc:creator>
  <cp:lastModifiedBy>Melissa McCarthy</cp:lastModifiedBy>
  <cp:revision>14</cp:revision>
  <cp:lastPrinted>2017-12-12T19:56:00Z</cp:lastPrinted>
  <dcterms:created xsi:type="dcterms:W3CDTF">2018-03-30T10:31:00Z</dcterms:created>
  <dcterms:modified xsi:type="dcterms:W3CDTF">2019-02-26T00:16:00Z</dcterms:modified>
</cp:coreProperties>
</file>